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Default="00E77CB3" w:rsidP="008C7F2B">
      <w:pPr>
        <w:tabs>
          <w:tab w:val="center" w:pos="3686"/>
        </w:tabs>
        <w:jc w:val="center"/>
        <w:rPr>
          <w:lang w:val="fr-FR"/>
        </w:rPr>
      </w:pPr>
      <w:bookmarkStart w:id="0" w:name="_GoBack"/>
      <w:bookmarkEnd w:id="0"/>
    </w:p>
    <w:p w:rsidR="005559D3" w:rsidRDefault="005559D3" w:rsidP="008C7F2B">
      <w:pPr>
        <w:tabs>
          <w:tab w:val="center" w:pos="3686"/>
        </w:tabs>
        <w:jc w:val="center"/>
        <w:rPr>
          <w:lang w:val="fr-FR"/>
        </w:rPr>
      </w:pPr>
    </w:p>
    <w:p w:rsidR="005559D3" w:rsidRPr="008F309E" w:rsidRDefault="005559D3" w:rsidP="008C7F2B">
      <w:pPr>
        <w:tabs>
          <w:tab w:val="center" w:pos="3686"/>
        </w:tabs>
        <w:jc w:val="center"/>
        <w:rPr>
          <w:lang w:val="fr-FR"/>
        </w:rPr>
      </w:pPr>
    </w:p>
    <w:p w:rsidR="00E77CB3" w:rsidRPr="008F309E" w:rsidRDefault="008D33F2" w:rsidP="008C7F2B">
      <w:pPr>
        <w:tabs>
          <w:tab w:val="center" w:pos="3686"/>
        </w:tabs>
        <w:jc w:val="center"/>
        <w:rPr>
          <w:lang w:val="fr-FR"/>
        </w:rPr>
      </w:pPr>
      <w:r w:rsidRPr="008F309E">
        <w:rPr>
          <w:lang w:val="fr-FR"/>
        </w:rPr>
        <w:t>QUATRIÈME SECTION</w:t>
      </w:r>
    </w:p>
    <w:p w:rsidR="00E77CB3" w:rsidRDefault="00E77CB3" w:rsidP="008C7F2B">
      <w:pPr>
        <w:tabs>
          <w:tab w:val="center" w:pos="3686"/>
        </w:tabs>
        <w:jc w:val="center"/>
        <w:rPr>
          <w:lang w:val="fr-FR"/>
        </w:rPr>
      </w:pPr>
    </w:p>
    <w:p w:rsidR="005559D3" w:rsidRDefault="005559D3" w:rsidP="008C7F2B">
      <w:pPr>
        <w:tabs>
          <w:tab w:val="center" w:pos="3686"/>
        </w:tabs>
        <w:jc w:val="center"/>
        <w:rPr>
          <w:lang w:val="fr-FR"/>
        </w:rPr>
      </w:pPr>
    </w:p>
    <w:p w:rsidR="005559D3" w:rsidRDefault="005559D3" w:rsidP="008C7F2B">
      <w:pPr>
        <w:tabs>
          <w:tab w:val="center" w:pos="3686"/>
        </w:tabs>
        <w:jc w:val="center"/>
        <w:rPr>
          <w:lang w:val="fr-FR"/>
        </w:rPr>
      </w:pPr>
    </w:p>
    <w:p w:rsidR="005559D3" w:rsidRDefault="005559D3" w:rsidP="008C7F2B">
      <w:pPr>
        <w:tabs>
          <w:tab w:val="center" w:pos="3686"/>
        </w:tabs>
        <w:jc w:val="center"/>
        <w:rPr>
          <w:lang w:val="fr-FR"/>
        </w:rPr>
      </w:pPr>
    </w:p>
    <w:p w:rsidR="005559D3" w:rsidRDefault="005559D3" w:rsidP="008C7F2B">
      <w:pPr>
        <w:tabs>
          <w:tab w:val="center" w:pos="3686"/>
        </w:tabs>
        <w:jc w:val="center"/>
        <w:rPr>
          <w:lang w:val="fr-FR"/>
        </w:rPr>
      </w:pPr>
    </w:p>
    <w:p w:rsidR="005559D3" w:rsidRPr="008F309E" w:rsidRDefault="005559D3" w:rsidP="008C7F2B">
      <w:pPr>
        <w:tabs>
          <w:tab w:val="center" w:pos="3686"/>
        </w:tabs>
        <w:jc w:val="center"/>
        <w:rPr>
          <w:lang w:val="fr-FR"/>
        </w:rPr>
      </w:pPr>
    </w:p>
    <w:p w:rsidR="00E77CB3" w:rsidRPr="008F309E" w:rsidRDefault="00E77CB3" w:rsidP="008C7F2B">
      <w:pPr>
        <w:tabs>
          <w:tab w:val="center" w:pos="3686"/>
        </w:tabs>
        <w:jc w:val="center"/>
        <w:rPr>
          <w:b/>
          <w:lang w:val="fr-FR"/>
        </w:rPr>
      </w:pPr>
      <w:bookmarkStart w:id="1" w:name="To"/>
      <w:r w:rsidRPr="008F309E">
        <w:rPr>
          <w:b/>
          <w:lang w:val="fr-FR"/>
        </w:rPr>
        <w:t xml:space="preserve">AFFAIRE </w:t>
      </w:r>
      <w:bookmarkEnd w:id="1"/>
      <w:r w:rsidR="008D33F2" w:rsidRPr="008F309E">
        <w:rPr>
          <w:b/>
          <w:lang w:val="fr-FR"/>
        </w:rPr>
        <w:t>BARATTA c. ITALIE</w:t>
      </w:r>
    </w:p>
    <w:p w:rsidR="00E77CB3" w:rsidRPr="008F309E" w:rsidRDefault="00E77CB3" w:rsidP="008C7F2B">
      <w:pPr>
        <w:tabs>
          <w:tab w:val="center" w:pos="3686"/>
        </w:tabs>
        <w:jc w:val="center"/>
        <w:rPr>
          <w:lang w:val="fr-FR"/>
        </w:rPr>
      </w:pPr>
    </w:p>
    <w:p w:rsidR="005559D3" w:rsidRDefault="00E77CB3" w:rsidP="008C7F2B">
      <w:pPr>
        <w:tabs>
          <w:tab w:val="center" w:pos="3686"/>
        </w:tabs>
        <w:jc w:val="center"/>
        <w:rPr>
          <w:sz w:val="22"/>
          <w:lang w:val="fr-FR"/>
        </w:rPr>
      </w:pPr>
      <w:r w:rsidRPr="008F309E">
        <w:rPr>
          <w:i/>
          <w:lang w:val="fr-FR"/>
        </w:rPr>
        <w:t>(</w:t>
      </w:r>
      <w:r w:rsidR="008D33F2" w:rsidRPr="008F309E">
        <w:rPr>
          <w:i/>
          <w:lang w:val="fr-FR"/>
        </w:rPr>
        <w:t>Requête n</w:t>
      </w:r>
      <w:r w:rsidR="008D33F2" w:rsidRPr="008F309E">
        <w:rPr>
          <w:i/>
          <w:vertAlign w:val="superscript"/>
          <w:lang w:val="fr-FR"/>
        </w:rPr>
        <w:t>o</w:t>
      </w:r>
      <w:r w:rsidR="008D33F2" w:rsidRPr="008F309E">
        <w:rPr>
          <w:i/>
          <w:lang w:val="fr-FR"/>
        </w:rPr>
        <w:t xml:space="preserve"> 28263/09</w:t>
      </w:r>
      <w:r w:rsidRPr="008F309E">
        <w:rPr>
          <w:i/>
          <w:lang w:val="fr-FR"/>
        </w:rPr>
        <w:t>)</w:t>
      </w:r>
    </w:p>
    <w:p w:rsidR="005559D3" w:rsidRDefault="005559D3" w:rsidP="008C7F2B">
      <w:pPr>
        <w:tabs>
          <w:tab w:val="center" w:pos="3686"/>
        </w:tabs>
        <w:jc w:val="center"/>
        <w:rPr>
          <w:sz w:val="22"/>
          <w:lang w:val="fr-FR"/>
        </w:rPr>
      </w:pPr>
    </w:p>
    <w:p w:rsidR="005559D3" w:rsidRDefault="005559D3" w:rsidP="008C7F2B">
      <w:pPr>
        <w:tabs>
          <w:tab w:val="center" w:pos="3686"/>
        </w:tabs>
        <w:jc w:val="center"/>
        <w:rPr>
          <w:sz w:val="22"/>
          <w:lang w:val="fr-FR"/>
        </w:rPr>
      </w:pPr>
    </w:p>
    <w:p w:rsidR="005559D3" w:rsidRDefault="005559D3" w:rsidP="008C7F2B">
      <w:pPr>
        <w:tabs>
          <w:tab w:val="center" w:pos="3686"/>
        </w:tabs>
        <w:jc w:val="center"/>
        <w:rPr>
          <w:sz w:val="22"/>
          <w:lang w:val="fr-FR"/>
        </w:rPr>
      </w:pPr>
    </w:p>
    <w:p w:rsidR="005559D3" w:rsidRDefault="005559D3" w:rsidP="008C7F2B">
      <w:pPr>
        <w:tabs>
          <w:tab w:val="center" w:pos="3686"/>
        </w:tabs>
        <w:jc w:val="center"/>
        <w:rPr>
          <w:sz w:val="22"/>
          <w:lang w:val="fr-FR"/>
        </w:rPr>
      </w:pPr>
    </w:p>
    <w:p w:rsidR="005559D3" w:rsidRDefault="005559D3" w:rsidP="008C7F2B">
      <w:pPr>
        <w:tabs>
          <w:tab w:val="center" w:pos="3686"/>
        </w:tabs>
        <w:jc w:val="center"/>
        <w:rPr>
          <w:sz w:val="22"/>
          <w:lang w:val="fr-FR"/>
        </w:rPr>
      </w:pPr>
    </w:p>
    <w:p w:rsidR="00C50855" w:rsidRDefault="00C50855" w:rsidP="008C7F2B">
      <w:pPr>
        <w:tabs>
          <w:tab w:val="center" w:pos="3686"/>
        </w:tabs>
        <w:jc w:val="center"/>
        <w:rPr>
          <w:sz w:val="22"/>
          <w:lang w:val="fr-FR"/>
        </w:rPr>
      </w:pPr>
    </w:p>
    <w:p w:rsidR="00C50855" w:rsidRDefault="00C50855" w:rsidP="008C7F2B">
      <w:pPr>
        <w:tabs>
          <w:tab w:val="center" w:pos="3686"/>
        </w:tabs>
        <w:jc w:val="center"/>
        <w:rPr>
          <w:sz w:val="22"/>
          <w:lang w:val="fr-FR"/>
        </w:rPr>
      </w:pPr>
    </w:p>
    <w:p w:rsidR="005559D3" w:rsidRDefault="005559D3" w:rsidP="008C7F2B">
      <w:pPr>
        <w:tabs>
          <w:tab w:val="center" w:pos="3686"/>
        </w:tabs>
        <w:jc w:val="center"/>
        <w:rPr>
          <w:sz w:val="22"/>
          <w:lang w:val="fr-FR"/>
        </w:rPr>
      </w:pPr>
    </w:p>
    <w:p w:rsidR="005559D3" w:rsidRDefault="005559D3" w:rsidP="008C7F2B">
      <w:pPr>
        <w:tabs>
          <w:tab w:val="center" w:pos="3686"/>
        </w:tabs>
        <w:jc w:val="center"/>
        <w:rPr>
          <w:sz w:val="22"/>
          <w:lang w:val="fr-FR"/>
        </w:rPr>
      </w:pPr>
    </w:p>
    <w:p w:rsidR="005559D3" w:rsidRDefault="005559D3" w:rsidP="008C7F2B">
      <w:pPr>
        <w:tabs>
          <w:tab w:val="center" w:pos="3686"/>
        </w:tabs>
        <w:jc w:val="center"/>
        <w:rPr>
          <w:sz w:val="22"/>
          <w:lang w:val="fr-FR"/>
        </w:rPr>
      </w:pPr>
    </w:p>
    <w:p w:rsidR="005559D3" w:rsidRDefault="005559D3" w:rsidP="008C7F2B">
      <w:pPr>
        <w:tabs>
          <w:tab w:val="center" w:pos="3686"/>
        </w:tabs>
        <w:jc w:val="center"/>
        <w:rPr>
          <w:sz w:val="22"/>
          <w:lang w:val="fr-FR"/>
        </w:rPr>
      </w:pPr>
    </w:p>
    <w:p w:rsidR="005559D3" w:rsidRPr="005559D3" w:rsidRDefault="005559D3" w:rsidP="008C7F2B">
      <w:pPr>
        <w:tabs>
          <w:tab w:val="center" w:pos="3686"/>
        </w:tabs>
        <w:jc w:val="center"/>
        <w:rPr>
          <w:szCs w:val="24"/>
          <w:lang w:val="fr-FR"/>
        </w:rPr>
      </w:pPr>
      <w:r w:rsidRPr="005559D3">
        <w:rPr>
          <w:szCs w:val="24"/>
          <w:lang w:val="fr-FR"/>
        </w:rPr>
        <w:t>ARRÊT</w:t>
      </w:r>
    </w:p>
    <w:p w:rsidR="008C7F2B" w:rsidRDefault="008C7F2B" w:rsidP="008C7F2B">
      <w:pPr>
        <w:tabs>
          <w:tab w:val="center" w:pos="3686"/>
        </w:tabs>
        <w:jc w:val="center"/>
        <w:rPr>
          <w:sz w:val="22"/>
          <w:lang w:val="fr-FR"/>
        </w:rPr>
      </w:pPr>
    </w:p>
    <w:p w:rsidR="008C7F2B" w:rsidRDefault="008C7F2B" w:rsidP="008C7F2B">
      <w:pPr>
        <w:tabs>
          <w:tab w:val="center" w:pos="3686"/>
        </w:tabs>
        <w:jc w:val="center"/>
        <w:rPr>
          <w:sz w:val="22"/>
          <w:lang w:val="fr-FR"/>
        </w:rPr>
      </w:pPr>
    </w:p>
    <w:p w:rsidR="008C7F2B" w:rsidRDefault="008C7F2B" w:rsidP="008C7F2B">
      <w:pPr>
        <w:tabs>
          <w:tab w:val="center" w:pos="3686"/>
        </w:tabs>
        <w:jc w:val="center"/>
        <w:rPr>
          <w:sz w:val="22"/>
          <w:lang w:val="fr-FR"/>
        </w:rPr>
      </w:pPr>
    </w:p>
    <w:p w:rsidR="008C7F2B" w:rsidRDefault="008C7F2B" w:rsidP="008C7F2B">
      <w:pPr>
        <w:tabs>
          <w:tab w:val="center" w:pos="3686"/>
        </w:tabs>
        <w:jc w:val="center"/>
        <w:rPr>
          <w:sz w:val="22"/>
          <w:lang w:val="fr-FR"/>
        </w:rPr>
      </w:pPr>
    </w:p>
    <w:p w:rsidR="008C7F2B" w:rsidRDefault="008C7F2B" w:rsidP="008C7F2B">
      <w:pPr>
        <w:tabs>
          <w:tab w:val="center" w:pos="3686"/>
        </w:tabs>
        <w:jc w:val="center"/>
        <w:rPr>
          <w:sz w:val="22"/>
          <w:lang w:val="fr-FR"/>
        </w:rPr>
      </w:pPr>
    </w:p>
    <w:p w:rsidR="008C7F2B" w:rsidRDefault="008C7F2B" w:rsidP="008C7F2B">
      <w:pPr>
        <w:tabs>
          <w:tab w:val="center" w:pos="3686"/>
        </w:tabs>
        <w:jc w:val="center"/>
        <w:rPr>
          <w:sz w:val="22"/>
          <w:lang w:val="fr-FR"/>
        </w:rPr>
      </w:pPr>
      <w:r>
        <w:rPr>
          <w:lang w:val="fr-FR"/>
        </w:rPr>
        <w:t>STRASBOURG</w:t>
      </w:r>
    </w:p>
    <w:p w:rsidR="008C7F2B" w:rsidRDefault="008C7F2B" w:rsidP="008C7F2B">
      <w:pPr>
        <w:tabs>
          <w:tab w:val="center" w:pos="3686"/>
        </w:tabs>
        <w:jc w:val="center"/>
        <w:rPr>
          <w:sz w:val="22"/>
          <w:lang w:val="fr-FR"/>
        </w:rPr>
      </w:pPr>
    </w:p>
    <w:p w:rsidR="008C7F2B" w:rsidRDefault="008C7F2B" w:rsidP="008C7F2B">
      <w:pPr>
        <w:tabs>
          <w:tab w:val="center" w:pos="3686"/>
        </w:tabs>
        <w:jc w:val="center"/>
        <w:rPr>
          <w:sz w:val="22"/>
          <w:lang w:val="fr-FR"/>
        </w:rPr>
      </w:pPr>
      <w:r>
        <w:rPr>
          <w:lang w:val="fr-FR"/>
        </w:rPr>
        <w:t>13 octobre 2015</w:t>
      </w:r>
    </w:p>
    <w:p w:rsidR="008C7F2B" w:rsidRDefault="008C7F2B" w:rsidP="008C7F2B">
      <w:pPr>
        <w:tabs>
          <w:tab w:val="center" w:pos="3686"/>
        </w:tabs>
        <w:jc w:val="center"/>
        <w:rPr>
          <w:sz w:val="22"/>
          <w:lang w:val="fr-FR"/>
        </w:rPr>
      </w:pPr>
    </w:p>
    <w:p w:rsidR="008C7F2B" w:rsidRDefault="008C7F2B" w:rsidP="008C7F2B">
      <w:pPr>
        <w:tabs>
          <w:tab w:val="center" w:pos="3686"/>
        </w:tabs>
        <w:jc w:val="center"/>
        <w:rPr>
          <w:sz w:val="22"/>
          <w:lang w:val="fr-FR"/>
        </w:rPr>
      </w:pPr>
    </w:p>
    <w:p w:rsidR="005559D3" w:rsidRPr="009A795C" w:rsidRDefault="005559D3" w:rsidP="009A795C">
      <w:pPr>
        <w:tabs>
          <w:tab w:val="center" w:pos="3686"/>
        </w:tabs>
        <w:jc w:val="center"/>
        <w:rPr>
          <w:sz w:val="22"/>
          <w:lang w:val="fr-FR"/>
        </w:rPr>
      </w:pPr>
    </w:p>
    <w:p w:rsidR="005559D3" w:rsidRPr="009A795C" w:rsidRDefault="005559D3" w:rsidP="009A795C">
      <w:pPr>
        <w:tabs>
          <w:tab w:val="center" w:pos="3686"/>
        </w:tabs>
        <w:jc w:val="left"/>
        <w:rPr>
          <w:i/>
          <w:sz w:val="22"/>
          <w:lang w:val="fr-FR"/>
        </w:rPr>
      </w:pPr>
      <w:r w:rsidRPr="009A795C">
        <w:rPr>
          <w:i/>
          <w:sz w:val="22"/>
          <w:lang w:val="fr-FR"/>
        </w:rPr>
        <w:t>Cet arrêt deviendra définitif dans les conditions définies à l</w:t>
      </w:r>
      <w:r w:rsidR="00162789">
        <w:rPr>
          <w:i/>
          <w:sz w:val="22"/>
          <w:lang w:val="fr-FR"/>
        </w:rPr>
        <w:t>’</w:t>
      </w:r>
      <w:r w:rsidRPr="009A795C">
        <w:rPr>
          <w:i/>
          <w:sz w:val="22"/>
          <w:lang w:val="fr-FR"/>
        </w:rPr>
        <w:t>article 44 § 2 de la Convention. Il peut subir des retouches de forme.</w:t>
      </w:r>
    </w:p>
    <w:p w:rsidR="005559D3" w:rsidRPr="005559D3" w:rsidRDefault="005559D3" w:rsidP="005559D3">
      <w:pPr>
        <w:pStyle w:val="ECHRPara"/>
        <w:ind w:firstLine="0"/>
        <w:rPr>
          <w:lang w:val="fr-FR"/>
        </w:rPr>
        <w:sectPr w:rsidR="005559D3" w:rsidRPr="005559D3" w:rsidSect="005559D3">
          <w:head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p>
    <w:p w:rsidR="00E77CB3" w:rsidRPr="008F309E" w:rsidRDefault="00E77CB3" w:rsidP="00E77CB3">
      <w:pPr>
        <w:pStyle w:val="JuCase"/>
        <w:rPr>
          <w:lang w:val="fr-FR"/>
        </w:rPr>
      </w:pPr>
      <w:r w:rsidRPr="008F309E">
        <w:rPr>
          <w:lang w:val="fr-FR"/>
        </w:rPr>
        <w:lastRenderedPageBreak/>
        <w:t>En l</w:t>
      </w:r>
      <w:r w:rsidR="00162789">
        <w:rPr>
          <w:lang w:val="fr-FR"/>
        </w:rPr>
        <w:t>’</w:t>
      </w:r>
      <w:r w:rsidRPr="008F309E">
        <w:rPr>
          <w:lang w:val="fr-FR"/>
        </w:rPr>
        <w:t xml:space="preserve">affaire </w:t>
      </w:r>
      <w:r w:rsidR="008D33F2" w:rsidRPr="008F309E">
        <w:rPr>
          <w:lang w:val="fr-FR"/>
        </w:rPr>
        <w:t>Baratta c. Italie</w:t>
      </w:r>
      <w:r w:rsidRPr="008F309E">
        <w:rPr>
          <w:lang w:val="fr-FR"/>
        </w:rPr>
        <w:t>,</w:t>
      </w:r>
    </w:p>
    <w:p w:rsidR="00E77CB3" w:rsidRPr="008F309E" w:rsidRDefault="00E77CB3" w:rsidP="00C63990">
      <w:pPr>
        <w:pStyle w:val="ECHRPara"/>
        <w:rPr>
          <w:lang w:val="fr-FR"/>
        </w:rPr>
      </w:pPr>
      <w:r w:rsidRPr="008F309E">
        <w:rPr>
          <w:lang w:val="fr-FR"/>
        </w:rPr>
        <w:t>La Cour européenne des droits de l</w:t>
      </w:r>
      <w:r w:rsidR="00162789">
        <w:rPr>
          <w:lang w:val="fr-FR"/>
        </w:rPr>
        <w:t>’</w:t>
      </w:r>
      <w:r w:rsidRPr="008F309E">
        <w:rPr>
          <w:lang w:val="fr-FR"/>
        </w:rPr>
        <w:t>homme (</w:t>
      </w:r>
      <w:r w:rsidR="008D33F2" w:rsidRPr="008F309E">
        <w:rPr>
          <w:lang w:val="fr-FR"/>
        </w:rPr>
        <w:t>quatrième section</w:t>
      </w:r>
      <w:r w:rsidRPr="008F309E">
        <w:rPr>
          <w:lang w:val="fr-FR"/>
        </w:rPr>
        <w:t xml:space="preserve">), siégeant en </w:t>
      </w:r>
      <w:r w:rsidR="008D33F2" w:rsidRPr="008F309E">
        <w:rPr>
          <w:lang w:val="fr-FR"/>
        </w:rPr>
        <w:t>une chambre composée</w:t>
      </w:r>
      <w:r w:rsidRPr="008F309E">
        <w:rPr>
          <w:lang w:val="fr-FR"/>
        </w:rPr>
        <w:t xml:space="preserve"> de :</w:t>
      </w:r>
    </w:p>
    <w:p w:rsidR="00E77CB3" w:rsidRPr="008F309E" w:rsidRDefault="005A6902" w:rsidP="00C63990">
      <w:pPr>
        <w:pStyle w:val="ECHRDecisionBody"/>
        <w:rPr>
          <w:lang w:val="fr-FR"/>
        </w:rPr>
      </w:pPr>
      <w:r w:rsidRPr="005A6902">
        <w:rPr>
          <w:lang w:val="fr-FR"/>
        </w:rPr>
        <w:tab/>
        <w:t>Päivi</w:t>
      </w:r>
      <w:r>
        <w:rPr>
          <w:lang w:val="fr-FR"/>
        </w:rPr>
        <w:t xml:space="preserve"> </w:t>
      </w:r>
      <w:r w:rsidRPr="005A6902">
        <w:rPr>
          <w:lang w:val="fr-FR"/>
        </w:rPr>
        <w:t>Hirvelä</w:t>
      </w:r>
      <w:r>
        <w:rPr>
          <w:lang w:val="fr-FR"/>
        </w:rPr>
        <w:t>,</w:t>
      </w:r>
      <w:r w:rsidRPr="005A6902">
        <w:rPr>
          <w:i/>
          <w:lang w:val="fr-FR"/>
        </w:rPr>
        <w:t xml:space="preserve"> présidente,</w:t>
      </w:r>
      <w:r>
        <w:rPr>
          <w:i/>
          <w:lang w:val="fr-FR"/>
        </w:rPr>
        <w:br/>
      </w:r>
      <w:r w:rsidRPr="005A6902">
        <w:rPr>
          <w:lang w:val="fr-FR"/>
        </w:rPr>
        <w:tab/>
        <w:t>Guido</w:t>
      </w:r>
      <w:r>
        <w:rPr>
          <w:lang w:val="fr-FR"/>
        </w:rPr>
        <w:t xml:space="preserve"> </w:t>
      </w:r>
      <w:r w:rsidRPr="005A6902">
        <w:rPr>
          <w:lang w:val="fr-FR"/>
        </w:rPr>
        <w:t>Raimondi</w:t>
      </w:r>
      <w:r>
        <w:rPr>
          <w:lang w:val="fr-FR"/>
        </w:rPr>
        <w:t>,</w:t>
      </w:r>
      <w:r>
        <w:rPr>
          <w:i/>
          <w:lang w:val="fr-FR"/>
        </w:rPr>
        <w:br/>
      </w:r>
      <w:r w:rsidRPr="005A6902">
        <w:rPr>
          <w:lang w:val="fr-FR"/>
        </w:rPr>
        <w:tab/>
        <w:t>George</w:t>
      </w:r>
      <w:r>
        <w:rPr>
          <w:lang w:val="fr-FR"/>
        </w:rPr>
        <w:t xml:space="preserve"> </w:t>
      </w:r>
      <w:r w:rsidRPr="005A6902">
        <w:rPr>
          <w:lang w:val="fr-FR"/>
        </w:rPr>
        <w:t>Nicolaou</w:t>
      </w:r>
      <w:r>
        <w:rPr>
          <w:lang w:val="fr-FR"/>
        </w:rPr>
        <w:t>,</w:t>
      </w:r>
      <w:r>
        <w:rPr>
          <w:i/>
          <w:lang w:val="fr-FR"/>
        </w:rPr>
        <w:br/>
      </w:r>
      <w:r w:rsidRPr="005A6902">
        <w:rPr>
          <w:lang w:val="fr-FR"/>
        </w:rPr>
        <w:tab/>
        <w:t>Ledi</w:t>
      </w:r>
      <w:r>
        <w:rPr>
          <w:lang w:val="fr-FR"/>
        </w:rPr>
        <w:t xml:space="preserve"> </w:t>
      </w:r>
      <w:r w:rsidRPr="005A6902">
        <w:rPr>
          <w:lang w:val="fr-FR"/>
        </w:rPr>
        <w:t>Bianku</w:t>
      </w:r>
      <w:r>
        <w:rPr>
          <w:lang w:val="fr-FR"/>
        </w:rPr>
        <w:t>,</w:t>
      </w:r>
      <w:r>
        <w:rPr>
          <w:i/>
          <w:lang w:val="fr-FR"/>
        </w:rPr>
        <w:br/>
      </w:r>
      <w:r w:rsidRPr="005A6902">
        <w:rPr>
          <w:lang w:val="fr-FR"/>
        </w:rPr>
        <w:tab/>
        <w:t>Nona</w:t>
      </w:r>
      <w:r>
        <w:rPr>
          <w:lang w:val="fr-FR"/>
        </w:rPr>
        <w:t xml:space="preserve"> </w:t>
      </w:r>
      <w:r w:rsidRPr="005A6902">
        <w:rPr>
          <w:lang w:val="fr-FR"/>
        </w:rPr>
        <w:t>Tsotsoria</w:t>
      </w:r>
      <w:r>
        <w:rPr>
          <w:lang w:val="fr-FR"/>
        </w:rPr>
        <w:t>,</w:t>
      </w:r>
      <w:r>
        <w:rPr>
          <w:i/>
          <w:lang w:val="fr-FR"/>
        </w:rPr>
        <w:br/>
      </w:r>
      <w:r w:rsidRPr="005A6902">
        <w:rPr>
          <w:lang w:val="fr-FR"/>
        </w:rPr>
        <w:tab/>
        <w:t>Krzysztof</w:t>
      </w:r>
      <w:r>
        <w:rPr>
          <w:lang w:val="fr-FR"/>
        </w:rPr>
        <w:t xml:space="preserve"> </w:t>
      </w:r>
      <w:r w:rsidRPr="005A6902">
        <w:rPr>
          <w:lang w:val="fr-FR"/>
        </w:rPr>
        <w:t>Wojtyczek</w:t>
      </w:r>
      <w:r>
        <w:rPr>
          <w:lang w:val="fr-FR"/>
        </w:rPr>
        <w:t>,</w:t>
      </w:r>
      <w:r>
        <w:rPr>
          <w:i/>
          <w:lang w:val="fr-FR"/>
        </w:rPr>
        <w:br/>
      </w:r>
      <w:r w:rsidRPr="005A6902">
        <w:rPr>
          <w:lang w:val="fr-FR"/>
        </w:rPr>
        <w:tab/>
        <w:t>Faris</w:t>
      </w:r>
      <w:r>
        <w:rPr>
          <w:lang w:val="fr-FR"/>
        </w:rPr>
        <w:t xml:space="preserve"> </w:t>
      </w:r>
      <w:r w:rsidRPr="005A6902">
        <w:rPr>
          <w:lang w:val="fr-FR"/>
        </w:rPr>
        <w:t>Vehabović</w:t>
      </w:r>
      <w:r>
        <w:rPr>
          <w:lang w:val="fr-FR"/>
        </w:rPr>
        <w:t>,</w:t>
      </w:r>
      <w:r w:rsidRPr="005A6902">
        <w:rPr>
          <w:i/>
          <w:lang w:val="fr-FR"/>
        </w:rPr>
        <w:t xml:space="preserve"> juges,</w:t>
      </w:r>
      <w:r w:rsidR="00E77CB3" w:rsidRPr="008F309E">
        <w:rPr>
          <w:lang w:val="fr-FR"/>
        </w:rPr>
        <w:br/>
        <w:t xml:space="preserve">et de </w:t>
      </w:r>
      <w:r w:rsidR="008D33F2" w:rsidRPr="008F309E">
        <w:rPr>
          <w:lang w:val="fr-FR"/>
        </w:rPr>
        <w:t>Françoise Elens-Passos</w:t>
      </w:r>
      <w:r w:rsidR="00E77CB3" w:rsidRPr="008F309E">
        <w:rPr>
          <w:lang w:val="fr-FR"/>
        </w:rPr>
        <w:t xml:space="preserve">, </w:t>
      </w:r>
      <w:r w:rsidR="008D33F2" w:rsidRPr="008F309E">
        <w:rPr>
          <w:i/>
          <w:lang w:val="fr-FR"/>
        </w:rPr>
        <w:t>greffière</w:t>
      </w:r>
      <w:r w:rsidR="008D33F2" w:rsidRPr="008F309E">
        <w:rPr>
          <w:iCs/>
          <w:lang w:val="fr-FR"/>
        </w:rPr>
        <w:t xml:space="preserve"> </w:t>
      </w:r>
      <w:r w:rsidR="008D33F2" w:rsidRPr="008F309E">
        <w:rPr>
          <w:i/>
          <w:iCs/>
          <w:lang w:val="fr-FR"/>
        </w:rPr>
        <w:t>d</w:t>
      </w:r>
      <w:r w:rsidR="008D33F2" w:rsidRPr="008F309E">
        <w:rPr>
          <w:i/>
          <w:lang w:val="fr-FR"/>
        </w:rPr>
        <w:t>e section</w:t>
      </w:r>
      <w:r w:rsidR="00E77CB3" w:rsidRPr="008F309E">
        <w:rPr>
          <w:lang w:val="fr-FR"/>
        </w:rPr>
        <w:t>,</w:t>
      </w:r>
    </w:p>
    <w:p w:rsidR="00E77CB3" w:rsidRPr="008F309E" w:rsidRDefault="00E77CB3" w:rsidP="00C63990">
      <w:pPr>
        <w:pStyle w:val="ECHRPara"/>
        <w:rPr>
          <w:lang w:val="fr-FR"/>
        </w:rPr>
      </w:pPr>
      <w:r w:rsidRPr="008F309E">
        <w:rPr>
          <w:lang w:val="fr-FR"/>
        </w:rPr>
        <w:t>Après en avoir délibéré en chambre du conseil le</w:t>
      </w:r>
      <w:r w:rsidR="001D5F23">
        <w:rPr>
          <w:lang w:val="fr-FR"/>
        </w:rPr>
        <w:t>s 30 juin 2015 et</w:t>
      </w:r>
      <w:r w:rsidRPr="008F309E">
        <w:rPr>
          <w:lang w:val="fr-FR"/>
        </w:rPr>
        <w:t xml:space="preserve"> </w:t>
      </w:r>
      <w:r w:rsidR="00BC4F70">
        <w:rPr>
          <w:lang w:val="fr-FR"/>
        </w:rPr>
        <w:t>8 septembre 2015</w:t>
      </w:r>
      <w:r w:rsidRPr="008F309E">
        <w:rPr>
          <w:lang w:val="fr-FR"/>
        </w:rPr>
        <w:t>,</w:t>
      </w:r>
    </w:p>
    <w:p w:rsidR="00E77CB3" w:rsidRPr="008F309E" w:rsidRDefault="00E77CB3" w:rsidP="00C63990">
      <w:pPr>
        <w:pStyle w:val="ECHRPara"/>
        <w:rPr>
          <w:lang w:val="fr-FR"/>
        </w:rPr>
      </w:pPr>
      <w:r w:rsidRPr="008F309E">
        <w:rPr>
          <w:lang w:val="fr-FR"/>
        </w:rPr>
        <w:t>Rend l</w:t>
      </w:r>
      <w:r w:rsidR="00162789">
        <w:rPr>
          <w:lang w:val="fr-FR"/>
        </w:rPr>
        <w:t>’</w:t>
      </w:r>
      <w:r w:rsidRPr="008F309E">
        <w:rPr>
          <w:lang w:val="fr-FR"/>
        </w:rPr>
        <w:t>arrêt que voici, adopté à cette date :</w:t>
      </w:r>
    </w:p>
    <w:p w:rsidR="00E77CB3" w:rsidRPr="008F309E" w:rsidRDefault="00E77CB3" w:rsidP="00E77CB3">
      <w:pPr>
        <w:pStyle w:val="ECHRTitle1"/>
        <w:rPr>
          <w:lang w:val="fr-FR"/>
        </w:rPr>
      </w:pPr>
      <w:r w:rsidRPr="008F309E">
        <w:rPr>
          <w:lang w:val="fr-FR"/>
        </w:rPr>
        <w:t>PROCÉDURE</w:t>
      </w:r>
    </w:p>
    <w:p w:rsidR="00E77CB3" w:rsidRPr="008F309E" w:rsidRDefault="008D33F2" w:rsidP="00C6399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w:t>
      </w:r>
      <w:r w:rsidRPr="008F309E">
        <w:rPr>
          <w:lang w:val="fr-FR"/>
        </w:rPr>
        <w:fldChar w:fldCharType="end"/>
      </w:r>
      <w:r w:rsidR="00E77CB3" w:rsidRPr="008F309E">
        <w:rPr>
          <w:lang w:val="fr-FR"/>
        </w:rPr>
        <w:t>.  À l</w:t>
      </w:r>
      <w:r w:rsidR="00162789">
        <w:rPr>
          <w:lang w:val="fr-FR"/>
        </w:rPr>
        <w:t>’</w:t>
      </w:r>
      <w:r w:rsidR="00E77CB3" w:rsidRPr="008F309E">
        <w:rPr>
          <w:lang w:val="fr-FR"/>
        </w:rPr>
        <w:t>origine de l</w:t>
      </w:r>
      <w:r w:rsidR="00162789">
        <w:rPr>
          <w:lang w:val="fr-FR"/>
        </w:rPr>
        <w:t>’</w:t>
      </w:r>
      <w:r w:rsidR="00E77CB3" w:rsidRPr="008F309E">
        <w:rPr>
          <w:lang w:val="fr-FR"/>
        </w:rPr>
        <w:t xml:space="preserve">affaire </w:t>
      </w:r>
      <w:r w:rsidRPr="008F309E">
        <w:rPr>
          <w:lang w:val="fr-FR"/>
        </w:rPr>
        <w:t>se trouve une requête (n</w:t>
      </w:r>
      <w:r w:rsidR="005559D3" w:rsidRPr="005559D3">
        <w:rPr>
          <w:vertAlign w:val="superscript"/>
          <w:lang w:val="fr-FR"/>
        </w:rPr>
        <w:t>o</w:t>
      </w:r>
      <w:r w:rsidRPr="008F309E">
        <w:rPr>
          <w:lang w:val="fr-FR"/>
        </w:rPr>
        <w:t xml:space="preserve"> 28263/09) dirigée</w:t>
      </w:r>
      <w:r w:rsidR="00E77CB3" w:rsidRPr="008F309E">
        <w:rPr>
          <w:lang w:val="fr-FR"/>
        </w:rPr>
        <w:t xml:space="preserve"> contre </w:t>
      </w:r>
      <w:r w:rsidRPr="008F309E">
        <w:rPr>
          <w:lang w:val="fr-FR"/>
        </w:rPr>
        <w:t>la République italienne</w:t>
      </w:r>
      <w:r w:rsidR="00E77CB3" w:rsidRPr="008F309E">
        <w:rPr>
          <w:lang w:val="fr-FR"/>
        </w:rPr>
        <w:t xml:space="preserve"> et dont </w:t>
      </w:r>
      <w:r w:rsidRPr="008F309E">
        <w:rPr>
          <w:lang w:val="fr-FR"/>
        </w:rPr>
        <w:t xml:space="preserve">un ressortissant </w:t>
      </w:r>
      <w:r w:rsidR="00536A63" w:rsidRPr="008F309E">
        <w:rPr>
          <w:lang w:val="fr-FR"/>
        </w:rPr>
        <w:t>de cet État</w:t>
      </w:r>
      <w:r w:rsidR="00401C3C">
        <w:rPr>
          <w:lang w:val="fr-FR"/>
        </w:rPr>
        <w:t>, M. Mario </w:t>
      </w:r>
      <w:r w:rsidRPr="008F309E">
        <w:rPr>
          <w:lang w:val="fr-FR"/>
        </w:rPr>
        <w:t>Baratta (« le requérant »), a saisi la Cour le 25 mai 2009</w:t>
      </w:r>
      <w:r w:rsidR="00E77CB3" w:rsidRPr="008F309E">
        <w:rPr>
          <w:lang w:val="fr-FR"/>
        </w:rPr>
        <w:t xml:space="preserve"> en vertu de </w:t>
      </w:r>
      <w:r w:rsidRPr="008F309E">
        <w:rPr>
          <w:lang w:val="fr-FR"/>
        </w:rPr>
        <w:t>l</w:t>
      </w:r>
      <w:r w:rsidR="00162789">
        <w:rPr>
          <w:lang w:val="fr-FR"/>
        </w:rPr>
        <w:t>’</w:t>
      </w:r>
      <w:r w:rsidRPr="008F309E">
        <w:rPr>
          <w:lang w:val="fr-FR"/>
        </w:rPr>
        <w:t>article</w:t>
      </w:r>
      <w:r w:rsidR="00B71998" w:rsidRPr="008F309E">
        <w:rPr>
          <w:lang w:val="fr-FR"/>
        </w:rPr>
        <w:t> </w:t>
      </w:r>
      <w:r w:rsidRPr="008F309E">
        <w:rPr>
          <w:lang w:val="fr-FR"/>
        </w:rPr>
        <w:t>34</w:t>
      </w:r>
      <w:r w:rsidR="00E77CB3" w:rsidRPr="008F309E">
        <w:rPr>
          <w:lang w:val="fr-FR"/>
        </w:rPr>
        <w:t xml:space="preserve"> de la Convention de sauvegarde des droits de l</w:t>
      </w:r>
      <w:r w:rsidR="00162789">
        <w:rPr>
          <w:lang w:val="fr-FR"/>
        </w:rPr>
        <w:t>’</w:t>
      </w:r>
      <w:r w:rsidR="00E77CB3" w:rsidRPr="008F309E">
        <w:rPr>
          <w:lang w:val="fr-FR"/>
        </w:rPr>
        <w:t>homme et des libertés fondamentales (« la Convention »).</w:t>
      </w:r>
    </w:p>
    <w:p w:rsidR="008D33F2" w:rsidRPr="008F309E" w:rsidRDefault="008D33F2" w:rsidP="00C6399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w:t>
      </w:r>
      <w:r w:rsidRPr="008F309E">
        <w:rPr>
          <w:lang w:val="fr-FR"/>
        </w:rPr>
        <w:fldChar w:fldCharType="end"/>
      </w:r>
      <w:r w:rsidR="00E77CB3" w:rsidRPr="008F309E">
        <w:rPr>
          <w:lang w:val="fr-FR"/>
        </w:rPr>
        <w:t>.  </w:t>
      </w:r>
      <w:r w:rsidRPr="008F309E">
        <w:rPr>
          <w:lang w:val="fr-FR"/>
        </w:rPr>
        <w:t>Le requérant, qui a été admis au bénéfice de l</w:t>
      </w:r>
      <w:r w:rsidR="00162789">
        <w:rPr>
          <w:lang w:val="fr-FR"/>
        </w:rPr>
        <w:t>’</w:t>
      </w:r>
      <w:r w:rsidRPr="008F309E">
        <w:rPr>
          <w:lang w:val="fr-FR"/>
        </w:rPr>
        <w:t>assistance judiciaire, a été représenté par M</w:t>
      </w:r>
      <w:r w:rsidRPr="008F309E">
        <w:rPr>
          <w:vertAlign w:val="superscript"/>
          <w:lang w:val="fr-FR"/>
        </w:rPr>
        <w:t>e</w:t>
      </w:r>
      <w:r w:rsidR="00BD54DF">
        <w:rPr>
          <w:lang w:val="fr-FR"/>
        </w:rPr>
        <w:t xml:space="preserve"> </w:t>
      </w:r>
      <w:r w:rsidRPr="008F309E">
        <w:rPr>
          <w:lang w:val="fr-FR"/>
        </w:rPr>
        <w:t>G. Belcastro, avocat à Rom</w:t>
      </w:r>
      <w:r w:rsidR="00B71998" w:rsidRPr="008F309E">
        <w:rPr>
          <w:lang w:val="fr-FR"/>
        </w:rPr>
        <w:t>e</w:t>
      </w:r>
      <w:r w:rsidRPr="008F309E">
        <w:rPr>
          <w:lang w:val="fr-FR"/>
        </w:rPr>
        <w:t xml:space="preserve">. </w:t>
      </w:r>
      <w:r w:rsidR="00E77CB3" w:rsidRPr="008F309E">
        <w:rPr>
          <w:lang w:val="fr-FR"/>
        </w:rPr>
        <w:t xml:space="preserve">Le gouvernement </w:t>
      </w:r>
      <w:r w:rsidRPr="008F309E">
        <w:rPr>
          <w:lang w:val="fr-FR"/>
        </w:rPr>
        <w:t>italien</w:t>
      </w:r>
      <w:r w:rsidR="00E77CB3" w:rsidRPr="008F309E">
        <w:rPr>
          <w:lang w:val="fr-FR"/>
        </w:rPr>
        <w:t xml:space="preserve"> (« le Gouvernement ») a été représenté par son agent, </w:t>
      </w:r>
      <w:r w:rsidR="004B4930" w:rsidRPr="008F309E">
        <w:rPr>
          <w:lang w:val="fr-FR"/>
        </w:rPr>
        <w:t>M</w:t>
      </w:r>
      <w:r w:rsidR="004B4930" w:rsidRPr="008F309E">
        <w:rPr>
          <w:vertAlign w:val="superscript"/>
          <w:lang w:val="fr-FR"/>
        </w:rPr>
        <w:t>me</w:t>
      </w:r>
      <w:r w:rsidR="004B4930" w:rsidRPr="008F309E">
        <w:rPr>
          <w:lang w:val="fr-FR"/>
        </w:rPr>
        <w:t xml:space="preserve"> E. Spatafora</w:t>
      </w:r>
      <w:r w:rsidR="00E77CB3" w:rsidRPr="008F309E">
        <w:rPr>
          <w:lang w:val="fr-FR"/>
        </w:rPr>
        <w:t>.</w:t>
      </w:r>
    </w:p>
    <w:p w:rsidR="00E77CB3" w:rsidRPr="008F309E" w:rsidRDefault="008D33F2" w:rsidP="00C6399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w:t>
      </w:r>
      <w:r w:rsidRPr="008F309E">
        <w:rPr>
          <w:lang w:val="fr-FR"/>
        </w:rPr>
        <w:fldChar w:fldCharType="end"/>
      </w:r>
      <w:r w:rsidRPr="008F309E">
        <w:rPr>
          <w:lang w:val="fr-FR"/>
        </w:rPr>
        <w:t xml:space="preserve">.  Le requérant allègue </w:t>
      </w:r>
      <w:r w:rsidR="00B71998" w:rsidRPr="008F309E">
        <w:rPr>
          <w:lang w:val="fr-FR"/>
        </w:rPr>
        <w:t>une méconnaissance de ses droits de participer à son procès ainsi qu</w:t>
      </w:r>
      <w:r w:rsidR="00162789">
        <w:rPr>
          <w:lang w:val="fr-FR"/>
        </w:rPr>
        <w:t>’</w:t>
      </w:r>
      <w:r w:rsidR="00536A63" w:rsidRPr="008F309E">
        <w:rPr>
          <w:lang w:val="fr-FR"/>
        </w:rPr>
        <w:t xml:space="preserve">à </w:t>
      </w:r>
      <w:r w:rsidR="00B71998" w:rsidRPr="008F309E">
        <w:rPr>
          <w:lang w:val="fr-FR"/>
        </w:rPr>
        <w:t>un double de degré de juridiction en matière pénale. Il considère également qu</w:t>
      </w:r>
      <w:r w:rsidR="00162789">
        <w:rPr>
          <w:lang w:val="fr-FR"/>
        </w:rPr>
        <w:t>’</w:t>
      </w:r>
      <w:r w:rsidR="00B71998" w:rsidRPr="008F309E">
        <w:rPr>
          <w:lang w:val="fr-FR"/>
        </w:rPr>
        <w:t>il ne disposait d</w:t>
      </w:r>
      <w:r w:rsidR="00162789">
        <w:rPr>
          <w:lang w:val="fr-FR"/>
        </w:rPr>
        <w:t>’</w:t>
      </w:r>
      <w:r w:rsidR="00B71998" w:rsidRPr="008F309E">
        <w:rPr>
          <w:lang w:val="fr-FR"/>
        </w:rPr>
        <w:t>aucun recours effectif pour faire valoir son grief tiré de l</w:t>
      </w:r>
      <w:r w:rsidR="00162789">
        <w:rPr>
          <w:lang w:val="fr-FR"/>
        </w:rPr>
        <w:t>’</w:t>
      </w:r>
      <w:r w:rsidR="00B71998" w:rsidRPr="008F309E">
        <w:rPr>
          <w:lang w:val="fr-FR"/>
        </w:rPr>
        <w:t>article 6 de la Convention et que sa détention en exécution de sa condamnation a été arbitraire.</w:t>
      </w:r>
    </w:p>
    <w:p w:rsidR="00E77CB3" w:rsidRPr="008F309E" w:rsidRDefault="008D33F2" w:rsidP="00C63990">
      <w:pPr>
        <w:pStyle w:val="ECHRPara"/>
        <w:rPr>
          <w:szCs w:val="24"/>
          <w:lang w:val="fr-FR" w:eastAsia="en-GB"/>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w:t>
      </w:r>
      <w:r w:rsidRPr="008F309E">
        <w:rPr>
          <w:lang w:val="fr-FR"/>
        </w:rPr>
        <w:fldChar w:fldCharType="end"/>
      </w:r>
      <w:r w:rsidR="00E77CB3" w:rsidRPr="008F309E">
        <w:rPr>
          <w:lang w:val="fr-FR"/>
        </w:rPr>
        <w:t>.  </w:t>
      </w:r>
      <w:r w:rsidRPr="008F309E">
        <w:rPr>
          <w:lang w:val="fr-FR"/>
        </w:rPr>
        <w:t xml:space="preserve">Le </w:t>
      </w:r>
      <w:r w:rsidRPr="008F309E">
        <w:rPr>
          <w:szCs w:val="24"/>
          <w:lang w:val="fr-FR"/>
        </w:rPr>
        <w:t>3 avril 2014</w:t>
      </w:r>
      <w:r w:rsidR="00E77CB3" w:rsidRPr="008F309E">
        <w:rPr>
          <w:lang w:val="fr-FR"/>
        </w:rPr>
        <w:t xml:space="preserve">, </w:t>
      </w:r>
      <w:r w:rsidRPr="008F309E">
        <w:rPr>
          <w:lang w:val="fr-FR"/>
        </w:rPr>
        <w:t>la requête a été communiquée au Gouvernement</w:t>
      </w:r>
      <w:r w:rsidR="00C1262B" w:rsidRPr="008F309E">
        <w:rPr>
          <w:lang w:val="fr-FR"/>
        </w:rPr>
        <w:t>.</w:t>
      </w:r>
    </w:p>
    <w:p w:rsidR="00E77CB3" w:rsidRPr="008F309E" w:rsidRDefault="00E77CB3" w:rsidP="00E77CB3">
      <w:pPr>
        <w:pStyle w:val="ECHRTitle1"/>
        <w:tabs>
          <w:tab w:val="left" w:pos="5387"/>
        </w:tabs>
        <w:rPr>
          <w:lang w:val="fr-FR"/>
        </w:rPr>
      </w:pPr>
      <w:r w:rsidRPr="008F309E">
        <w:rPr>
          <w:lang w:val="fr-FR"/>
        </w:rPr>
        <w:t>EN FAIT</w:t>
      </w:r>
    </w:p>
    <w:p w:rsidR="00E77CB3" w:rsidRPr="008F309E" w:rsidRDefault="00E77CB3" w:rsidP="00C63990">
      <w:pPr>
        <w:pStyle w:val="ECHRHeading1"/>
        <w:rPr>
          <w:lang w:val="fr-FR"/>
        </w:rPr>
      </w:pPr>
      <w:r w:rsidRPr="008F309E">
        <w:rPr>
          <w:lang w:val="fr-FR"/>
        </w:rPr>
        <w:t>I.  LES CIRCONSTANCES DE L</w:t>
      </w:r>
      <w:r w:rsidR="00162789">
        <w:rPr>
          <w:lang w:val="fr-FR"/>
        </w:rPr>
        <w:t>’</w:t>
      </w:r>
      <w:r w:rsidRPr="008F309E">
        <w:rPr>
          <w:lang w:val="fr-FR"/>
        </w:rPr>
        <w:t>ESPÈCE</w:t>
      </w:r>
    </w:p>
    <w:p w:rsidR="00E77CB3" w:rsidRPr="008F309E" w:rsidRDefault="008D33F2" w:rsidP="00C6399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w:t>
      </w:r>
      <w:r w:rsidRPr="008F309E">
        <w:rPr>
          <w:lang w:val="fr-FR"/>
        </w:rPr>
        <w:fldChar w:fldCharType="end"/>
      </w:r>
      <w:r w:rsidR="00E77CB3" w:rsidRPr="008F309E">
        <w:rPr>
          <w:lang w:val="fr-FR"/>
        </w:rPr>
        <w:t>.  </w:t>
      </w:r>
      <w:r w:rsidRPr="008F309E">
        <w:rPr>
          <w:lang w:val="fr-FR"/>
        </w:rPr>
        <w:t>Le requérant est né en 1951 et réside à Cosenza</w:t>
      </w:r>
      <w:r w:rsidR="00E77CB3" w:rsidRPr="008F309E">
        <w:rPr>
          <w:lang w:val="fr-FR"/>
        </w:rPr>
        <w:t>.</w:t>
      </w:r>
    </w:p>
    <w:p w:rsidR="008D33F2" w:rsidRPr="008F309E" w:rsidRDefault="008D33F2" w:rsidP="008D33F2">
      <w:pPr>
        <w:pStyle w:val="ECHRHeading2"/>
        <w:rPr>
          <w:lang w:val="fr-FR"/>
        </w:rPr>
      </w:pPr>
      <w:r w:rsidRPr="008F309E">
        <w:rPr>
          <w:lang w:val="fr-FR"/>
        </w:rPr>
        <w:lastRenderedPageBreak/>
        <w:t>A.  Les accusations contre le requérant et la procédure d</w:t>
      </w:r>
      <w:r w:rsidR="00162789">
        <w:rPr>
          <w:lang w:val="fr-FR"/>
        </w:rPr>
        <w:t>’</w:t>
      </w:r>
      <w:r w:rsidRPr="008F309E">
        <w:rPr>
          <w:lang w:val="fr-FR"/>
        </w:rPr>
        <w:t>extradition</w:t>
      </w:r>
    </w:p>
    <w:p w:rsidR="005559D3"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w:t>
      </w:r>
      <w:r w:rsidRPr="008F309E">
        <w:rPr>
          <w:lang w:val="fr-FR"/>
        </w:rPr>
        <w:fldChar w:fldCharType="end"/>
      </w:r>
      <w:r w:rsidRPr="008F309E">
        <w:rPr>
          <w:lang w:val="fr-FR"/>
        </w:rPr>
        <w:t>.  Par une ordonnance du 7 janvier 1994, le juge des investigations préliminaires de Catanzaro ordonna le placement en détention provisoire de nombreuses personnes, parmi lesquelles le requérant. Ce dernier était accusé, entre autres, d</w:t>
      </w:r>
      <w:r w:rsidR="00162789">
        <w:rPr>
          <w:lang w:val="fr-FR"/>
        </w:rPr>
        <w:t>’</w:t>
      </w:r>
      <w:r w:rsidRPr="008F309E">
        <w:rPr>
          <w:lang w:val="fr-FR"/>
        </w:rPr>
        <w:t>homicide et de faire partie d</w:t>
      </w:r>
      <w:r w:rsidR="00162789">
        <w:rPr>
          <w:lang w:val="fr-FR"/>
        </w:rPr>
        <w:t>’</w:t>
      </w:r>
      <w:r w:rsidRPr="008F309E">
        <w:rPr>
          <w:lang w:val="fr-FR"/>
        </w:rPr>
        <w:t>une association de malfaiteurs de type mafieux.</w:t>
      </w:r>
    </w:p>
    <w:p w:rsidR="005559D3"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w:t>
      </w:r>
      <w:r w:rsidRPr="008F309E">
        <w:rPr>
          <w:lang w:val="fr-FR"/>
        </w:rPr>
        <w:fldChar w:fldCharType="end"/>
      </w:r>
      <w:r w:rsidRPr="008F309E">
        <w:rPr>
          <w:lang w:val="fr-FR"/>
        </w:rPr>
        <w:t>.  Les autorités ne purent pas appréhender le requérant, qui à cette époque se trouvait au Brésil.</w:t>
      </w:r>
    </w:p>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w:t>
      </w:r>
      <w:r w:rsidRPr="008F309E">
        <w:rPr>
          <w:lang w:val="fr-FR"/>
        </w:rPr>
        <w:fldChar w:fldCharType="end"/>
      </w:r>
      <w:r w:rsidRPr="008F309E">
        <w:rPr>
          <w:lang w:val="fr-FR"/>
        </w:rPr>
        <w:t>.  Le 3 mai 1995, les autorités italiennes demandèrent à leurs homologues brésiliens de placer le requérant sous écrou extraditionnel.</w:t>
      </w:r>
    </w:p>
    <w:bookmarkStart w:id="2" w:name="arrestaitonrequerant"/>
    <w:p w:rsidR="005559D3"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w:t>
      </w:r>
      <w:r w:rsidRPr="008F309E">
        <w:rPr>
          <w:lang w:val="fr-FR"/>
        </w:rPr>
        <w:fldChar w:fldCharType="end"/>
      </w:r>
      <w:bookmarkEnd w:id="2"/>
      <w:r w:rsidRPr="008F309E">
        <w:rPr>
          <w:lang w:val="fr-FR"/>
        </w:rPr>
        <w:t>.  Le 25 mars 1997, le ministre brésilien de la Justice ordonna l</w:t>
      </w:r>
      <w:r w:rsidR="00162789">
        <w:rPr>
          <w:lang w:val="fr-FR"/>
        </w:rPr>
        <w:t>’</w:t>
      </w:r>
      <w:r w:rsidRPr="008F309E">
        <w:rPr>
          <w:lang w:val="fr-FR"/>
        </w:rPr>
        <w:t xml:space="preserve">arrestation du requérant, qui eut lieu le 6 mai 1997. </w:t>
      </w:r>
      <w:r w:rsidR="00777653" w:rsidRPr="008F309E">
        <w:rPr>
          <w:rFonts w:cstheme="minorHAnsi"/>
          <w:lang w:val="fr-FR"/>
        </w:rPr>
        <w:t xml:space="preserve">Dans la mesure où </w:t>
      </w:r>
      <w:r w:rsidRPr="008F309E">
        <w:rPr>
          <w:lang w:val="fr-FR"/>
        </w:rPr>
        <w:t>au moment de son arrestation</w:t>
      </w:r>
      <w:r w:rsidR="00777653" w:rsidRPr="008F309E">
        <w:rPr>
          <w:lang w:val="fr-FR"/>
        </w:rPr>
        <w:t>,</w:t>
      </w:r>
      <w:r w:rsidRPr="008F309E">
        <w:rPr>
          <w:lang w:val="fr-FR"/>
        </w:rPr>
        <w:t xml:space="preserve"> il avait exhibé un passeport sur lequel figuraient des visas falsifiés, le requérant fut accusé de faux et condamné au Brésil pour cette infraction.</w:t>
      </w:r>
    </w:p>
    <w:bookmarkStart w:id="3" w:name="extraditionitalie"/>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w:t>
      </w:r>
      <w:r w:rsidRPr="008F309E">
        <w:rPr>
          <w:lang w:val="fr-FR"/>
        </w:rPr>
        <w:fldChar w:fldCharType="end"/>
      </w:r>
      <w:bookmarkEnd w:id="3"/>
      <w:r w:rsidRPr="008F309E">
        <w:rPr>
          <w:lang w:val="fr-FR"/>
        </w:rPr>
        <w:t>.  Le 30 mai 1997, les autorités italiennes présentèrent une demande formelle d</w:t>
      </w:r>
      <w:r w:rsidR="00162789">
        <w:rPr>
          <w:lang w:val="fr-FR"/>
        </w:rPr>
        <w:t>’</w:t>
      </w:r>
      <w:r w:rsidRPr="008F309E">
        <w:rPr>
          <w:lang w:val="fr-FR"/>
        </w:rPr>
        <w:t>extradition. Celle-ci fut accueillie seulement en partie par les autorités brésiliennes, car le principe de spécialité imposait d</w:t>
      </w:r>
      <w:r w:rsidR="00162789">
        <w:rPr>
          <w:lang w:val="fr-FR"/>
        </w:rPr>
        <w:t>’</w:t>
      </w:r>
      <w:r w:rsidRPr="008F309E">
        <w:rPr>
          <w:lang w:val="fr-FR"/>
        </w:rPr>
        <w:t>exclure la possibilité de poursuivre le requérant en Italie pour certains de chefs d</w:t>
      </w:r>
      <w:r w:rsidR="00162789">
        <w:rPr>
          <w:lang w:val="fr-FR"/>
        </w:rPr>
        <w:t>’</w:t>
      </w:r>
      <w:r w:rsidRPr="008F309E">
        <w:rPr>
          <w:lang w:val="fr-FR"/>
        </w:rPr>
        <w:t xml:space="preserve">accusation à son encontre. </w:t>
      </w:r>
      <w:r w:rsidR="00777653" w:rsidRPr="008F309E">
        <w:rPr>
          <w:lang w:val="fr-FR"/>
        </w:rPr>
        <w:t>Compte tenu de l</w:t>
      </w:r>
      <w:r w:rsidR="00162789">
        <w:rPr>
          <w:lang w:val="fr-FR"/>
        </w:rPr>
        <w:t>’</w:t>
      </w:r>
      <w:r w:rsidR="00777653" w:rsidRPr="008F309E">
        <w:rPr>
          <w:lang w:val="fr-FR"/>
        </w:rPr>
        <w:t>opposition du</w:t>
      </w:r>
      <w:r w:rsidRPr="008F309E">
        <w:rPr>
          <w:lang w:val="fr-FR"/>
        </w:rPr>
        <w:t xml:space="preserve"> requérant à </w:t>
      </w:r>
      <w:r w:rsidR="00536A63" w:rsidRPr="008F309E">
        <w:rPr>
          <w:lang w:val="fr-FR"/>
        </w:rPr>
        <w:t xml:space="preserve">son </w:t>
      </w:r>
      <w:r w:rsidRPr="008F309E">
        <w:rPr>
          <w:lang w:val="fr-FR"/>
        </w:rPr>
        <w:t>extradition, la procédure y relative s</w:t>
      </w:r>
      <w:r w:rsidR="00162789">
        <w:rPr>
          <w:lang w:val="fr-FR"/>
        </w:rPr>
        <w:t>’</w:t>
      </w:r>
      <w:r w:rsidRPr="008F309E">
        <w:rPr>
          <w:lang w:val="fr-FR"/>
        </w:rPr>
        <w:t>étala sur plusieurs mois. En octobre 1999, le requérant s</w:t>
      </w:r>
      <w:r w:rsidR="00162789">
        <w:rPr>
          <w:lang w:val="fr-FR"/>
        </w:rPr>
        <w:t>’</w:t>
      </w:r>
      <w:r w:rsidRPr="008F309E">
        <w:rPr>
          <w:lang w:val="fr-FR"/>
        </w:rPr>
        <w:t>évada de la prison brésilienne où il était détenu. Il fut à nouveau arrêté en janvier 2001, et fut extradé vers l</w:t>
      </w:r>
      <w:r w:rsidR="00162789">
        <w:rPr>
          <w:lang w:val="fr-FR"/>
        </w:rPr>
        <w:t>’</w:t>
      </w:r>
      <w:r w:rsidRPr="008F309E">
        <w:rPr>
          <w:lang w:val="fr-FR"/>
        </w:rPr>
        <w:t>Italie le 11 avril 2001.</w:t>
      </w:r>
    </w:p>
    <w:p w:rsidR="008D33F2" w:rsidRPr="008F309E" w:rsidRDefault="008D33F2" w:rsidP="008D33F2">
      <w:pPr>
        <w:pStyle w:val="ECHRHeading2"/>
        <w:rPr>
          <w:lang w:val="fr-FR"/>
        </w:rPr>
      </w:pPr>
      <w:r w:rsidRPr="008F309E">
        <w:rPr>
          <w:lang w:val="fr-FR"/>
        </w:rPr>
        <w:t>B.  La procédure pénale contre le requérant</w:t>
      </w:r>
    </w:p>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w:t>
      </w:r>
      <w:r w:rsidRPr="008F309E">
        <w:rPr>
          <w:lang w:val="fr-FR"/>
        </w:rPr>
        <w:fldChar w:fldCharType="end"/>
      </w:r>
      <w:r w:rsidRPr="008F309E">
        <w:rPr>
          <w:lang w:val="fr-FR"/>
        </w:rPr>
        <w:t>.  Entre-temps, dans le cadre de la procédure pénale entamée contre lui en Italie, le requérant avait été déclaré en fuite (</w:t>
      </w:r>
      <w:r w:rsidRPr="008F309E">
        <w:rPr>
          <w:i/>
          <w:lang w:val="fr-FR"/>
        </w:rPr>
        <w:t>latitante</w:t>
      </w:r>
      <w:r w:rsidRPr="008F309E">
        <w:rPr>
          <w:lang w:val="fr-FR"/>
        </w:rPr>
        <w:t xml:space="preserve">). </w:t>
      </w:r>
      <w:r w:rsidR="00536A63" w:rsidRPr="008F309E">
        <w:rPr>
          <w:lang w:val="fr-FR"/>
        </w:rPr>
        <w:t>Il fut renvoyé en jugement devant la cour d</w:t>
      </w:r>
      <w:r w:rsidR="00162789">
        <w:rPr>
          <w:lang w:val="fr-FR"/>
        </w:rPr>
        <w:t>’</w:t>
      </w:r>
      <w:r w:rsidR="00536A63" w:rsidRPr="008F309E">
        <w:rPr>
          <w:lang w:val="fr-FR"/>
        </w:rPr>
        <w:t>assises de Cosenza, qui décida de le juger par contumace.</w:t>
      </w:r>
    </w:p>
    <w:bookmarkStart w:id="4" w:name="avvinvocaarrestoBrasile"/>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12</w:t>
      </w:r>
      <w:r w:rsidRPr="008F309E">
        <w:rPr>
          <w:lang w:val="fr-FR"/>
        </w:rPr>
        <w:fldChar w:fldCharType="end"/>
      </w:r>
      <w:bookmarkEnd w:id="4"/>
      <w:r w:rsidRPr="008F309E">
        <w:rPr>
          <w:lang w:val="fr-FR"/>
        </w:rPr>
        <w:t>.  </w:t>
      </w:r>
      <w:r w:rsidRPr="008F309E">
        <w:rPr>
          <w:rFonts w:cstheme="minorHAnsi"/>
          <w:lang w:val="fr-FR"/>
        </w:rPr>
        <w:t>À</w:t>
      </w:r>
      <w:r w:rsidRPr="008F309E">
        <w:rPr>
          <w:lang w:val="fr-FR"/>
        </w:rPr>
        <w:t xml:space="preserve"> l</w:t>
      </w:r>
      <w:r w:rsidR="00162789">
        <w:rPr>
          <w:lang w:val="fr-FR"/>
        </w:rPr>
        <w:t>’</w:t>
      </w:r>
      <w:r w:rsidRPr="008F309E">
        <w:rPr>
          <w:lang w:val="fr-FR"/>
        </w:rPr>
        <w:t>audience du 7 mai 1997, l</w:t>
      </w:r>
      <w:r w:rsidR="00162789">
        <w:rPr>
          <w:lang w:val="fr-FR"/>
        </w:rPr>
        <w:t>’</w:t>
      </w:r>
      <w:r w:rsidRPr="008F309E">
        <w:rPr>
          <w:lang w:val="fr-FR"/>
        </w:rPr>
        <w:t xml:space="preserve">avocat du requérant déclara avoir </w:t>
      </w:r>
      <w:r w:rsidR="00536A63" w:rsidRPr="008F309E">
        <w:rPr>
          <w:lang w:val="fr-FR"/>
        </w:rPr>
        <w:t>a</w:t>
      </w:r>
      <w:r w:rsidRPr="008F309E">
        <w:rPr>
          <w:lang w:val="fr-FR"/>
        </w:rPr>
        <w:t>ppris que son client était détenu sous écrou extraditionnel au Brésil et demanda de révoquer la décision de le juger par contumace. Par une ordonnance du même jour, la cour d</w:t>
      </w:r>
      <w:r w:rsidR="00162789">
        <w:rPr>
          <w:lang w:val="fr-FR"/>
        </w:rPr>
        <w:t>’</w:t>
      </w:r>
      <w:r w:rsidRPr="008F309E">
        <w:rPr>
          <w:lang w:val="fr-FR"/>
        </w:rPr>
        <w:t>assises rejeta cette demande, estimant que l</w:t>
      </w:r>
      <w:r w:rsidR="00162789">
        <w:rPr>
          <w:lang w:val="fr-FR"/>
        </w:rPr>
        <w:t>’</w:t>
      </w:r>
      <w:r w:rsidRPr="008F309E">
        <w:rPr>
          <w:lang w:val="fr-FR"/>
        </w:rPr>
        <w:t>information concernant l</w:t>
      </w:r>
      <w:r w:rsidR="00162789">
        <w:rPr>
          <w:lang w:val="fr-FR"/>
        </w:rPr>
        <w:t>’</w:t>
      </w:r>
      <w:r w:rsidRPr="008F309E">
        <w:rPr>
          <w:lang w:val="fr-FR"/>
        </w:rPr>
        <w:t>arrestation du requérant au Brésil n</w:t>
      </w:r>
      <w:r w:rsidR="00162789">
        <w:rPr>
          <w:lang w:val="fr-FR"/>
        </w:rPr>
        <w:t>’</w:t>
      </w:r>
      <w:r w:rsidRPr="008F309E">
        <w:rPr>
          <w:lang w:val="fr-FR"/>
        </w:rPr>
        <w:t xml:space="preserve">était pas étayée </w:t>
      </w:r>
      <w:r w:rsidR="00FD75FE" w:rsidRPr="008F309E">
        <w:rPr>
          <w:lang w:val="fr-FR"/>
        </w:rPr>
        <w:t>par</w:t>
      </w:r>
      <w:r w:rsidRPr="008F309E">
        <w:rPr>
          <w:lang w:val="fr-FR"/>
        </w:rPr>
        <w:t xml:space="preserve"> des éléments suffisamment certains. En </w:t>
      </w:r>
      <w:r w:rsidR="00FD75FE" w:rsidRPr="008F309E">
        <w:rPr>
          <w:lang w:val="fr-FR"/>
        </w:rPr>
        <w:t>particulier</w:t>
      </w:r>
      <w:r w:rsidRPr="008F309E">
        <w:rPr>
          <w:lang w:val="fr-FR"/>
        </w:rPr>
        <w:t>, l</w:t>
      </w:r>
      <w:r w:rsidR="00162789">
        <w:rPr>
          <w:lang w:val="fr-FR"/>
        </w:rPr>
        <w:t>’</w:t>
      </w:r>
      <w:r w:rsidRPr="008F309E">
        <w:rPr>
          <w:lang w:val="fr-FR"/>
        </w:rPr>
        <w:t>avocat de l</w:t>
      </w:r>
      <w:r w:rsidR="00162789">
        <w:rPr>
          <w:lang w:val="fr-FR"/>
        </w:rPr>
        <w:t>’</w:t>
      </w:r>
      <w:r w:rsidRPr="008F309E">
        <w:rPr>
          <w:lang w:val="fr-FR"/>
        </w:rPr>
        <w:t>intéressé n</w:t>
      </w:r>
      <w:r w:rsidR="00162789">
        <w:rPr>
          <w:lang w:val="fr-FR"/>
        </w:rPr>
        <w:t>’</w:t>
      </w:r>
      <w:r w:rsidRPr="008F309E">
        <w:rPr>
          <w:lang w:val="fr-FR"/>
        </w:rPr>
        <w:t>avait produit aucun document et avait lui-mê</w:t>
      </w:r>
      <w:r w:rsidR="00FD75FE" w:rsidRPr="008F309E">
        <w:rPr>
          <w:lang w:val="fr-FR"/>
        </w:rPr>
        <w:t>me prétendument eu connaissance</w:t>
      </w:r>
      <w:r w:rsidRPr="008F309E">
        <w:rPr>
          <w:lang w:val="fr-FR"/>
        </w:rPr>
        <w:t xml:space="preserve"> de l</w:t>
      </w:r>
      <w:r w:rsidR="00162789">
        <w:rPr>
          <w:lang w:val="fr-FR"/>
        </w:rPr>
        <w:t>’</w:t>
      </w:r>
      <w:r w:rsidRPr="008F309E">
        <w:rPr>
          <w:lang w:val="fr-FR"/>
        </w:rPr>
        <w:t>incarcération de son client grâce à une source journalistique.</w:t>
      </w:r>
    </w:p>
    <w:bookmarkStart w:id="5" w:name="avvinvocaarrestoBrasile2"/>
    <w:p w:rsidR="005559D3" w:rsidRDefault="008D33F2" w:rsidP="008D33F2">
      <w:pPr>
        <w:pStyle w:val="ECHRPara"/>
        <w:rPr>
          <w:lang w:val="fr-FR"/>
        </w:rPr>
      </w:pPr>
      <w:r w:rsidRPr="008F309E">
        <w:rPr>
          <w:rFonts w:cstheme="minorHAnsi"/>
          <w:lang w:val="fr-FR"/>
        </w:rPr>
        <w:fldChar w:fldCharType="begin"/>
      </w:r>
      <w:r w:rsidRPr="008F309E">
        <w:rPr>
          <w:rFonts w:cstheme="minorHAnsi"/>
          <w:lang w:val="fr-FR"/>
        </w:rPr>
        <w:instrText xml:space="preserve"> SEQ level0 \*arabic </w:instrText>
      </w:r>
      <w:r w:rsidRPr="008F309E">
        <w:rPr>
          <w:rFonts w:cstheme="minorHAnsi"/>
          <w:lang w:val="fr-FR"/>
        </w:rPr>
        <w:fldChar w:fldCharType="separate"/>
      </w:r>
      <w:r w:rsidR="0051458B">
        <w:rPr>
          <w:rFonts w:cstheme="minorHAnsi"/>
          <w:noProof/>
          <w:lang w:val="fr-FR"/>
        </w:rPr>
        <w:t>13</w:t>
      </w:r>
      <w:r w:rsidRPr="008F309E">
        <w:rPr>
          <w:rFonts w:cstheme="minorHAnsi"/>
          <w:lang w:val="fr-FR"/>
        </w:rPr>
        <w:fldChar w:fldCharType="end"/>
      </w:r>
      <w:bookmarkEnd w:id="5"/>
      <w:r w:rsidRPr="008F309E">
        <w:rPr>
          <w:rFonts w:cstheme="minorHAnsi"/>
          <w:lang w:val="fr-FR"/>
        </w:rPr>
        <w:t>.  À</w:t>
      </w:r>
      <w:r w:rsidRPr="008F309E">
        <w:rPr>
          <w:lang w:val="fr-FR"/>
        </w:rPr>
        <w:t xml:space="preserve"> l</w:t>
      </w:r>
      <w:r w:rsidR="00162789">
        <w:rPr>
          <w:lang w:val="fr-FR"/>
        </w:rPr>
        <w:t>’</w:t>
      </w:r>
      <w:r w:rsidRPr="008F309E">
        <w:rPr>
          <w:lang w:val="fr-FR"/>
        </w:rPr>
        <w:t>audience suivante, tenue le 8 mai 1997, l</w:t>
      </w:r>
      <w:r w:rsidR="00162789">
        <w:rPr>
          <w:lang w:val="fr-FR"/>
        </w:rPr>
        <w:t>’</w:t>
      </w:r>
      <w:r w:rsidRPr="008F309E">
        <w:rPr>
          <w:lang w:val="fr-FR"/>
        </w:rPr>
        <w:t>avocat du requérant réitéra sa demande. Il indiqua avoir été oralement informé de l</w:t>
      </w:r>
      <w:r w:rsidR="00162789">
        <w:rPr>
          <w:lang w:val="fr-FR"/>
        </w:rPr>
        <w:t>’</w:t>
      </w:r>
      <w:r w:rsidRPr="008F309E">
        <w:rPr>
          <w:lang w:val="fr-FR"/>
        </w:rPr>
        <w:t>arrestation de son client par un officier des carabiniers de Cosenza. La cour d</w:t>
      </w:r>
      <w:r w:rsidR="00162789">
        <w:rPr>
          <w:lang w:val="fr-FR"/>
        </w:rPr>
        <w:t>’</w:t>
      </w:r>
      <w:r w:rsidRPr="008F309E">
        <w:rPr>
          <w:lang w:val="fr-FR"/>
        </w:rPr>
        <w:t xml:space="preserve">assises </w:t>
      </w:r>
      <w:r w:rsidRPr="008F309E">
        <w:rPr>
          <w:lang w:val="fr-FR"/>
        </w:rPr>
        <w:lastRenderedPageBreak/>
        <w:t xml:space="preserve">rejeta </w:t>
      </w:r>
      <w:r w:rsidR="00536A63" w:rsidRPr="008F309E">
        <w:rPr>
          <w:lang w:val="fr-FR"/>
        </w:rPr>
        <w:t>cette</w:t>
      </w:r>
      <w:r w:rsidRPr="008F309E">
        <w:rPr>
          <w:lang w:val="fr-FR"/>
        </w:rPr>
        <w:t xml:space="preserve"> demande, estimant qu</w:t>
      </w:r>
      <w:r w:rsidR="00162789">
        <w:rPr>
          <w:lang w:val="fr-FR"/>
        </w:rPr>
        <w:t>’</w:t>
      </w:r>
      <w:r w:rsidRPr="008F309E">
        <w:rPr>
          <w:lang w:val="fr-FR"/>
        </w:rPr>
        <w:t>elle n</w:t>
      </w:r>
      <w:r w:rsidR="00162789">
        <w:rPr>
          <w:lang w:val="fr-FR"/>
        </w:rPr>
        <w:t>’</w:t>
      </w:r>
      <w:r w:rsidRPr="008F309E">
        <w:rPr>
          <w:lang w:val="fr-FR"/>
        </w:rPr>
        <w:t>était pas tenue à vérifier l</w:t>
      </w:r>
      <w:r w:rsidR="00162789">
        <w:rPr>
          <w:lang w:val="fr-FR"/>
        </w:rPr>
        <w:t>’</w:t>
      </w:r>
      <w:r w:rsidRPr="008F309E">
        <w:rPr>
          <w:lang w:val="fr-FR"/>
        </w:rPr>
        <w:t>information en question.</w:t>
      </w:r>
    </w:p>
    <w:bookmarkStart w:id="6" w:name="parquetgeneralinforme"/>
    <w:p w:rsidR="005559D3"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14</w:t>
      </w:r>
      <w:r w:rsidRPr="008F309E">
        <w:rPr>
          <w:lang w:val="fr-FR"/>
        </w:rPr>
        <w:fldChar w:fldCharType="end"/>
      </w:r>
      <w:bookmarkEnd w:id="6"/>
      <w:r w:rsidRPr="008F309E">
        <w:rPr>
          <w:lang w:val="fr-FR"/>
        </w:rPr>
        <w:t>.  Le requérant allègue qu</w:t>
      </w:r>
      <w:r w:rsidR="00162789">
        <w:rPr>
          <w:lang w:val="fr-FR"/>
        </w:rPr>
        <w:t>’</w:t>
      </w:r>
      <w:r w:rsidRPr="008F309E">
        <w:rPr>
          <w:lang w:val="fr-FR"/>
        </w:rPr>
        <w:t>à cette époque le parquet général de Catanzaro avait été formellement informé de son arrestation.</w:t>
      </w:r>
    </w:p>
    <w:bookmarkStart w:id="7" w:name="condannaprimogrado"/>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15</w:t>
      </w:r>
      <w:r w:rsidRPr="008F309E">
        <w:rPr>
          <w:lang w:val="fr-FR"/>
        </w:rPr>
        <w:fldChar w:fldCharType="end"/>
      </w:r>
      <w:bookmarkEnd w:id="7"/>
      <w:r w:rsidRPr="008F309E">
        <w:rPr>
          <w:lang w:val="fr-FR"/>
        </w:rPr>
        <w:t>.  Par un arrêt du 9 juin 1997, dont le texte fut déposé au greffe le 15 janvier 1998, la cour d</w:t>
      </w:r>
      <w:r w:rsidR="00162789">
        <w:rPr>
          <w:lang w:val="fr-FR"/>
        </w:rPr>
        <w:t>’</w:t>
      </w:r>
      <w:r w:rsidRPr="008F309E">
        <w:rPr>
          <w:lang w:val="fr-FR"/>
        </w:rPr>
        <w:t>assises de Cosenza condamna le requérant à perpétuité.</w:t>
      </w:r>
    </w:p>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16</w:t>
      </w:r>
      <w:r w:rsidRPr="008F309E">
        <w:rPr>
          <w:lang w:val="fr-FR"/>
        </w:rPr>
        <w:fldChar w:fldCharType="end"/>
      </w:r>
      <w:r w:rsidRPr="008F309E">
        <w:rPr>
          <w:lang w:val="fr-FR"/>
        </w:rPr>
        <w:t>.  </w:t>
      </w:r>
      <w:r w:rsidR="008F6DD8" w:rsidRPr="008F309E">
        <w:rPr>
          <w:lang w:val="fr-FR"/>
        </w:rPr>
        <w:t>L</w:t>
      </w:r>
      <w:r w:rsidRPr="008F309E">
        <w:rPr>
          <w:lang w:val="fr-FR"/>
        </w:rPr>
        <w:t xml:space="preserve">e requérant </w:t>
      </w:r>
      <w:r w:rsidR="00D26F52" w:rsidRPr="008F309E">
        <w:rPr>
          <w:lang w:val="fr-FR"/>
        </w:rPr>
        <w:t>ayant</w:t>
      </w:r>
      <w:r w:rsidRPr="008F309E">
        <w:rPr>
          <w:lang w:val="fr-FR"/>
        </w:rPr>
        <w:t xml:space="preserve"> été déclaré en fuite, cette arrêt fut notifié à son avocat.</w:t>
      </w:r>
    </w:p>
    <w:bookmarkStart w:id="8" w:name="appello"/>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17</w:t>
      </w:r>
      <w:r w:rsidRPr="008F309E">
        <w:rPr>
          <w:lang w:val="fr-FR"/>
        </w:rPr>
        <w:fldChar w:fldCharType="end"/>
      </w:r>
      <w:bookmarkEnd w:id="8"/>
      <w:r w:rsidRPr="008F309E">
        <w:rPr>
          <w:lang w:val="fr-FR"/>
        </w:rPr>
        <w:t>.  L</w:t>
      </w:r>
      <w:r w:rsidR="00162789">
        <w:rPr>
          <w:lang w:val="fr-FR"/>
        </w:rPr>
        <w:t>’</w:t>
      </w:r>
      <w:r w:rsidRPr="008F309E">
        <w:rPr>
          <w:lang w:val="fr-FR"/>
        </w:rPr>
        <w:t xml:space="preserve">avocat du requérant interjeta appel, réitérant ses </w:t>
      </w:r>
      <w:r w:rsidR="00BE6CDD" w:rsidRPr="008F309E">
        <w:rPr>
          <w:lang w:val="fr-FR"/>
        </w:rPr>
        <w:t>griefs</w:t>
      </w:r>
      <w:r w:rsidRPr="008F309E">
        <w:rPr>
          <w:lang w:val="fr-FR"/>
        </w:rPr>
        <w:t xml:space="preserve"> </w:t>
      </w:r>
      <w:r w:rsidR="00536A63" w:rsidRPr="008F309E">
        <w:rPr>
          <w:lang w:val="fr-FR"/>
        </w:rPr>
        <w:t xml:space="preserve">portant sur la violation du droit </w:t>
      </w:r>
      <w:r w:rsidRPr="008F309E">
        <w:rPr>
          <w:lang w:val="fr-FR"/>
        </w:rPr>
        <w:t xml:space="preserve">de son client </w:t>
      </w:r>
      <w:r w:rsidR="00536A63" w:rsidRPr="008F309E">
        <w:rPr>
          <w:lang w:val="fr-FR"/>
        </w:rPr>
        <w:t xml:space="preserve">de participer </w:t>
      </w:r>
      <w:r w:rsidRPr="008F309E">
        <w:rPr>
          <w:lang w:val="fr-FR"/>
        </w:rPr>
        <w:t>au procès.</w:t>
      </w:r>
    </w:p>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18</w:t>
      </w:r>
      <w:r w:rsidRPr="008F309E">
        <w:rPr>
          <w:lang w:val="fr-FR"/>
        </w:rPr>
        <w:fldChar w:fldCharType="end"/>
      </w:r>
      <w:r w:rsidRPr="008F309E">
        <w:rPr>
          <w:lang w:val="fr-FR"/>
        </w:rPr>
        <w:t>.  Par un fax du 13 mai 1998, la cour d</w:t>
      </w:r>
      <w:r w:rsidR="00162789">
        <w:rPr>
          <w:lang w:val="fr-FR"/>
        </w:rPr>
        <w:t>’</w:t>
      </w:r>
      <w:r w:rsidRPr="008F309E">
        <w:rPr>
          <w:lang w:val="fr-FR"/>
        </w:rPr>
        <w:t>assises d</w:t>
      </w:r>
      <w:r w:rsidR="00162789">
        <w:rPr>
          <w:lang w:val="fr-FR"/>
        </w:rPr>
        <w:t>’</w:t>
      </w:r>
      <w:r w:rsidRPr="008F309E">
        <w:rPr>
          <w:lang w:val="fr-FR"/>
        </w:rPr>
        <w:t xml:space="preserve">appel de Catanzaro demanda aux carabiniers de Spezzano della Sila, </w:t>
      </w:r>
      <w:r w:rsidR="00536A63" w:rsidRPr="008F309E">
        <w:rPr>
          <w:lang w:val="fr-FR"/>
        </w:rPr>
        <w:t>commune</w:t>
      </w:r>
      <w:r w:rsidRPr="008F309E">
        <w:rPr>
          <w:lang w:val="fr-FR"/>
        </w:rPr>
        <w:t xml:space="preserve"> de naissance du requérant, de préciser le lieu où ce dernier se trouvait. Le lendemain, les carabiniers indiquèrent que le requérant était « détenu sous écrou extraditionnel dans la prison de la police fédérale brésilienne de Rio de Janeiro ».</w:t>
      </w:r>
    </w:p>
    <w:p w:rsidR="005559D3" w:rsidRDefault="008D33F2" w:rsidP="008D33F2">
      <w:pPr>
        <w:pStyle w:val="ECHRPara"/>
        <w:rPr>
          <w:lang w:val="fr-FR"/>
        </w:rPr>
      </w:pPr>
      <w:r w:rsidRPr="008F309E">
        <w:rPr>
          <w:rFonts w:cstheme="minorHAnsi"/>
          <w:lang w:val="fr-FR"/>
        </w:rPr>
        <w:fldChar w:fldCharType="begin"/>
      </w:r>
      <w:r w:rsidRPr="008F309E">
        <w:rPr>
          <w:rFonts w:cstheme="minorHAnsi"/>
          <w:lang w:val="fr-FR"/>
        </w:rPr>
        <w:instrText xml:space="preserve"> SEQ level0 \*arabic </w:instrText>
      </w:r>
      <w:r w:rsidRPr="008F309E">
        <w:rPr>
          <w:rFonts w:cstheme="minorHAnsi"/>
          <w:lang w:val="fr-FR"/>
        </w:rPr>
        <w:fldChar w:fldCharType="separate"/>
      </w:r>
      <w:r w:rsidR="0051458B">
        <w:rPr>
          <w:rFonts w:cstheme="minorHAnsi"/>
          <w:noProof/>
          <w:lang w:val="fr-FR"/>
        </w:rPr>
        <w:t>19</w:t>
      </w:r>
      <w:r w:rsidRPr="008F309E">
        <w:rPr>
          <w:rFonts w:cstheme="minorHAnsi"/>
          <w:lang w:val="fr-FR"/>
        </w:rPr>
        <w:fldChar w:fldCharType="end"/>
      </w:r>
      <w:r w:rsidRPr="008F309E">
        <w:rPr>
          <w:rFonts w:cstheme="minorHAnsi"/>
          <w:lang w:val="fr-FR"/>
        </w:rPr>
        <w:t>.  À</w:t>
      </w:r>
      <w:r w:rsidRPr="008F309E">
        <w:rPr>
          <w:lang w:val="fr-FR"/>
        </w:rPr>
        <w:t xml:space="preserve"> l</w:t>
      </w:r>
      <w:r w:rsidR="00162789">
        <w:rPr>
          <w:lang w:val="fr-FR"/>
        </w:rPr>
        <w:t>’</w:t>
      </w:r>
      <w:r w:rsidRPr="008F309E">
        <w:rPr>
          <w:lang w:val="fr-FR"/>
        </w:rPr>
        <w:t>audience du 25 septembre 1998, l</w:t>
      </w:r>
      <w:r w:rsidR="00162789">
        <w:rPr>
          <w:lang w:val="fr-FR"/>
        </w:rPr>
        <w:t>’</w:t>
      </w:r>
      <w:r w:rsidRPr="008F309E">
        <w:rPr>
          <w:lang w:val="fr-FR"/>
        </w:rPr>
        <w:t>avocat du requérant produisit le dispositif d</w:t>
      </w:r>
      <w:r w:rsidR="00162789">
        <w:rPr>
          <w:lang w:val="fr-FR"/>
        </w:rPr>
        <w:t>’</w:t>
      </w:r>
      <w:r w:rsidRPr="008F309E">
        <w:rPr>
          <w:lang w:val="fr-FR"/>
        </w:rPr>
        <w:t>une décision du tribunal fédéral de Brasilia, dont il ressortait que son client avait été placé sous écrou extraditionnel. Il demanda par conséquent la révocation de la déclaration de fuite.</w:t>
      </w:r>
    </w:p>
    <w:bookmarkStart w:id="9" w:name="opposizextradiz"/>
    <w:p w:rsidR="005559D3"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20</w:t>
      </w:r>
      <w:r w:rsidRPr="008F309E">
        <w:rPr>
          <w:lang w:val="fr-FR"/>
        </w:rPr>
        <w:fldChar w:fldCharType="end"/>
      </w:r>
      <w:bookmarkEnd w:id="9"/>
      <w:r w:rsidRPr="008F309E">
        <w:rPr>
          <w:lang w:val="fr-FR"/>
        </w:rPr>
        <w:t>.  Par une ordonnance du 29 septembre 1998, la cour d</w:t>
      </w:r>
      <w:r w:rsidR="00162789">
        <w:rPr>
          <w:lang w:val="fr-FR"/>
        </w:rPr>
        <w:t>’</w:t>
      </w:r>
      <w:r w:rsidRPr="008F309E">
        <w:rPr>
          <w:lang w:val="fr-FR"/>
        </w:rPr>
        <w:t>assises d</w:t>
      </w:r>
      <w:r w:rsidR="00162789">
        <w:rPr>
          <w:lang w:val="fr-FR"/>
        </w:rPr>
        <w:t>’</w:t>
      </w:r>
      <w:r w:rsidRPr="008F309E">
        <w:rPr>
          <w:lang w:val="fr-FR"/>
        </w:rPr>
        <w:t xml:space="preserve">appel rejeta </w:t>
      </w:r>
      <w:r w:rsidR="00536A63" w:rsidRPr="008F309E">
        <w:rPr>
          <w:lang w:val="fr-FR"/>
        </w:rPr>
        <w:t>cette</w:t>
      </w:r>
      <w:r w:rsidRPr="008F309E">
        <w:rPr>
          <w:lang w:val="fr-FR"/>
        </w:rPr>
        <w:t xml:space="preserve"> demande et décida de juger </w:t>
      </w:r>
      <w:r w:rsidR="00536A63" w:rsidRPr="008F309E">
        <w:rPr>
          <w:lang w:val="fr-FR"/>
        </w:rPr>
        <w:t>le requérant</w:t>
      </w:r>
      <w:r w:rsidRPr="008F309E">
        <w:rPr>
          <w:lang w:val="fr-FR"/>
        </w:rPr>
        <w:t xml:space="preserve"> par contumace. Elle estima que le document produit par la défense était sans importance. En effet, étant donné que le requérant s</w:t>
      </w:r>
      <w:r w:rsidR="00162789">
        <w:rPr>
          <w:lang w:val="fr-FR"/>
        </w:rPr>
        <w:t>’</w:t>
      </w:r>
      <w:r w:rsidRPr="008F309E">
        <w:rPr>
          <w:lang w:val="fr-FR"/>
        </w:rPr>
        <w:t>opposait à la demande d</w:t>
      </w:r>
      <w:r w:rsidR="00162789">
        <w:rPr>
          <w:lang w:val="fr-FR"/>
        </w:rPr>
        <w:t>’</w:t>
      </w:r>
      <w:r w:rsidRPr="008F309E">
        <w:rPr>
          <w:lang w:val="fr-FR"/>
        </w:rPr>
        <w:t>extradition, son absence était due à sa volonté, et non à un empêchement légitime.</w:t>
      </w:r>
    </w:p>
    <w:p w:rsidR="005559D3"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21</w:t>
      </w:r>
      <w:r w:rsidRPr="008F309E">
        <w:rPr>
          <w:lang w:val="fr-FR"/>
        </w:rPr>
        <w:fldChar w:fldCharType="end"/>
      </w:r>
      <w:r w:rsidRPr="008F309E">
        <w:rPr>
          <w:lang w:val="fr-FR"/>
        </w:rPr>
        <w:t>.  Par un arrêt du 13 mars 1999, dont le texte fut déposé au greffe le 4 juin 1999, la cour d</w:t>
      </w:r>
      <w:r w:rsidR="00162789">
        <w:rPr>
          <w:lang w:val="fr-FR"/>
        </w:rPr>
        <w:t>’</w:t>
      </w:r>
      <w:r w:rsidRPr="008F309E">
        <w:rPr>
          <w:lang w:val="fr-FR"/>
        </w:rPr>
        <w:t>assises d</w:t>
      </w:r>
      <w:r w:rsidR="00162789">
        <w:rPr>
          <w:lang w:val="fr-FR"/>
        </w:rPr>
        <w:t>’</w:t>
      </w:r>
      <w:r w:rsidRPr="008F309E">
        <w:rPr>
          <w:lang w:val="fr-FR"/>
        </w:rPr>
        <w:t>appel de Catanzaro confirma la condamnation du requérant à perpétuité.</w:t>
      </w:r>
    </w:p>
    <w:bookmarkStart w:id="10" w:name="cassazione"/>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22</w:t>
      </w:r>
      <w:r w:rsidRPr="008F309E">
        <w:rPr>
          <w:lang w:val="fr-FR"/>
        </w:rPr>
        <w:fldChar w:fldCharType="end"/>
      </w:r>
      <w:bookmarkEnd w:id="10"/>
      <w:r w:rsidRPr="008F309E">
        <w:rPr>
          <w:lang w:val="fr-FR"/>
        </w:rPr>
        <w:t>.  L</w:t>
      </w:r>
      <w:r w:rsidR="00162789">
        <w:rPr>
          <w:lang w:val="fr-FR"/>
        </w:rPr>
        <w:t>’</w:t>
      </w:r>
      <w:r w:rsidRPr="008F309E">
        <w:rPr>
          <w:lang w:val="fr-FR"/>
        </w:rPr>
        <w:t>avocat du requérant se pourvut en cassation</w:t>
      </w:r>
      <w:r w:rsidR="00A53834" w:rsidRPr="008F309E">
        <w:rPr>
          <w:lang w:val="fr-FR"/>
        </w:rPr>
        <w:t>. Il</w:t>
      </w:r>
      <w:r w:rsidRPr="008F309E">
        <w:rPr>
          <w:lang w:val="fr-FR"/>
        </w:rPr>
        <w:t xml:space="preserve"> demand</w:t>
      </w:r>
      <w:r w:rsidR="00A53834" w:rsidRPr="008F309E">
        <w:rPr>
          <w:lang w:val="fr-FR"/>
        </w:rPr>
        <w:t>a</w:t>
      </w:r>
      <w:r w:rsidRPr="008F309E">
        <w:rPr>
          <w:lang w:val="fr-FR"/>
        </w:rPr>
        <w:t xml:space="preserve"> de révo</w:t>
      </w:r>
      <w:r w:rsidR="00A53834" w:rsidRPr="008F309E">
        <w:rPr>
          <w:lang w:val="fr-FR"/>
        </w:rPr>
        <w:t>quer</w:t>
      </w:r>
      <w:r w:rsidRPr="008F309E">
        <w:rPr>
          <w:lang w:val="fr-FR"/>
        </w:rPr>
        <w:t xml:space="preserve"> la déclaration de fuite et la décision de juger son client par contumace.</w:t>
      </w:r>
    </w:p>
    <w:bookmarkStart w:id="11" w:name="confermacondannaccass"/>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23</w:t>
      </w:r>
      <w:r w:rsidRPr="008F309E">
        <w:rPr>
          <w:lang w:val="fr-FR"/>
        </w:rPr>
        <w:fldChar w:fldCharType="end"/>
      </w:r>
      <w:bookmarkEnd w:id="11"/>
      <w:r w:rsidRPr="008F309E">
        <w:rPr>
          <w:lang w:val="fr-FR"/>
        </w:rPr>
        <w:t>.  Par un arrêt du 3 juillet 2000, dont le texte fut déposé au greffe le 12 septembre 2000, la Cour de cassation débouta le requérant de son pourvoi. Elle observa que l</w:t>
      </w:r>
      <w:r w:rsidR="00162789">
        <w:rPr>
          <w:lang w:val="fr-FR"/>
        </w:rPr>
        <w:t>’</w:t>
      </w:r>
      <w:r w:rsidRPr="008F309E">
        <w:rPr>
          <w:lang w:val="fr-FR"/>
        </w:rPr>
        <w:t>avocat du requérant soutenait que le juge devait suspendre les débats lorsqu</w:t>
      </w:r>
      <w:r w:rsidR="00162789">
        <w:rPr>
          <w:lang w:val="fr-FR"/>
        </w:rPr>
        <w:t>’</w:t>
      </w:r>
      <w:r w:rsidRPr="008F309E">
        <w:rPr>
          <w:lang w:val="fr-FR"/>
        </w:rPr>
        <w:t>il était probable que l</w:t>
      </w:r>
      <w:r w:rsidR="00162789">
        <w:rPr>
          <w:lang w:val="fr-FR"/>
        </w:rPr>
        <w:t>’</w:t>
      </w:r>
      <w:r w:rsidRPr="008F309E">
        <w:rPr>
          <w:lang w:val="fr-FR"/>
        </w:rPr>
        <w:t>absence de l</w:t>
      </w:r>
      <w:r w:rsidR="00162789">
        <w:rPr>
          <w:lang w:val="fr-FR"/>
        </w:rPr>
        <w:t>’</w:t>
      </w:r>
      <w:r w:rsidRPr="008F309E">
        <w:rPr>
          <w:lang w:val="fr-FR"/>
        </w:rPr>
        <w:t>accusé était due à une impossibilité de comparaître pour cas de force majeure. Cependant, il « n</w:t>
      </w:r>
      <w:r w:rsidR="00162789">
        <w:rPr>
          <w:lang w:val="fr-FR"/>
        </w:rPr>
        <w:t>’</w:t>
      </w:r>
      <w:r w:rsidRPr="008F309E">
        <w:rPr>
          <w:lang w:val="fr-FR"/>
        </w:rPr>
        <w:t>était pas possible de comparer la fuite (</w:t>
      </w:r>
      <w:r w:rsidRPr="008F309E">
        <w:rPr>
          <w:i/>
          <w:lang w:val="fr-FR"/>
        </w:rPr>
        <w:t>latitanza</w:t>
      </w:r>
      <w:r w:rsidRPr="008F309E">
        <w:rPr>
          <w:lang w:val="fr-FR"/>
        </w:rPr>
        <w:t>) volontaire de l</w:t>
      </w:r>
      <w:r w:rsidR="00162789">
        <w:rPr>
          <w:lang w:val="fr-FR"/>
        </w:rPr>
        <w:t>’</w:t>
      </w:r>
      <w:r w:rsidRPr="008F309E">
        <w:rPr>
          <w:lang w:val="fr-FR"/>
        </w:rPr>
        <w:t>accusé à un cas de force majeure ».</w:t>
      </w:r>
    </w:p>
    <w:p w:rsidR="008D33F2" w:rsidRPr="008F309E" w:rsidRDefault="008D33F2" w:rsidP="008D33F2">
      <w:pPr>
        <w:pStyle w:val="ECHRHeading2"/>
        <w:rPr>
          <w:lang w:val="fr-FR"/>
        </w:rPr>
      </w:pPr>
      <w:r w:rsidRPr="008F309E">
        <w:rPr>
          <w:lang w:val="fr-FR"/>
        </w:rPr>
        <w:lastRenderedPageBreak/>
        <w:t>C.  La procédure d</w:t>
      </w:r>
      <w:r w:rsidR="00162789">
        <w:rPr>
          <w:lang w:val="fr-FR"/>
        </w:rPr>
        <w:t>’</w:t>
      </w:r>
      <w:r w:rsidRPr="008F309E">
        <w:rPr>
          <w:lang w:val="fr-FR"/>
        </w:rPr>
        <w:t>exécution</w:t>
      </w:r>
    </w:p>
    <w:bookmarkStart w:id="12" w:name="detenzionesecuzsentenza"/>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24</w:t>
      </w:r>
      <w:r w:rsidRPr="008F309E">
        <w:rPr>
          <w:lang w:val="fr-FR"/>
        </w:rPr>
        <w:fldChar w:fldCharType="end"/>
      </w:r>
      <w:bookmarkEnd w:id="12"/>
      <w:r w:rsidRPr="008F309E">
        <w:rPr>
          <w:lang w:val="fr-FR"/>
        </w:rPr>
        <w:t>.  Lorsque, le 11 avril 2001, il fut extradé du Brésil vers l</w:t>
      </w:r>
      <w:r w:rsidR="00162789">
        <w:rPr>
          <w:lang w:val="fr-FR"/>
        </w:rPr>
        <w:t>’</w:t>
      </w:r>
      <w:r w:rsidRPr="008F309E">
        <w:rPr>
          <w:lang w:val="fr-FR"/>
        </w:rPr>
        <w:t xml:space="preserve">Italie (paragraphe </w:t>
      </w:r>
      <w:r w:rsidR="007501D0">
        <w:rPr>
          <w:noProof/>
          <w:lang w:val="fr-FR"/>
        </w:rPr>
        <w:t>10</w:t>
      </w:r>
      <w:r w:rsidRPr="008F309E">
        <w:rPr>
          <w:lang w:val="fr-FR"/>
        </w:rPr>
        <w:t xml:space="preserve"> ci-dessus), le requérant fut emprisonné en exécution de sa condamnation à perpétuité.</w:t>
      </w:r>
    </w:p>
    <w:bookmarkStart w:id="13" w:name="incidenteesecuzione"/>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25</w:t>
      </w:r>
      <w:r w:rsidRPr="008F309E">
        <w:rPr>
          <w:lang w:val="fr-FR"/>
        </w:rPr>
        <w:fldChar w:fldCharType="end"/>
      </w:r>
      <w:bookmarkEnd w:id="13"/>
      <w:r w:rsidRPr="008F309E">
        <w:rPr>
          <w:lang w:val="fr-FR"/>
        </w:rPr>
        <w:t xml:space="preserve">.  Le 9 novembre 2007, </w:t>
      </w:r>
      <w:r w:rsidR="00A53834" w:rsidRPr="008F309E">
        <w:rPr>
          <w:lang w:val="fr-FR"/>
        </w:rPr>
        <w:t>il</w:t>
      </w:r>
      <w:r w:rsidRPr="008F309E">
        <w:rPr>
          <w:lang w:val="fr-FR"/>
        </w:rPr>
        <w:t xml:space="preserve"> introduisit un incident d</w:t>
      </w:r>
      <w:r w:rsidR="00162789">
        <w:rPr>
          <w:lang w:val="fr-FR"/>
        </w:rPr>
        <w:t>’</w:t>
      </w:r>
      <w:r w:rsidRPr="008F309E">
        <w:rPr>
          <w:lang w:val="fr-FR"/>
        </w:rPr>
        <w:t xml:space="preserve">exécution </w:t>
      </w:r>
      <w:r w:rsidR="00DB1735" w:rsidRPr="008F309E">
        <w:rPr>
          <w:lang w:val="fr-FR"/>
        </w:rPr>
        <w:t>fondée sur</w:t>
      </w:r>
      <w:r w:rsidRPr="008F309E">
        <w:rPr>
          <w:lang w:val="fr-FR"/>
        </w:rPr>
        <w:t xml:space="preserve"> l</w:t>
      </w:r>
      <w:r w:rsidR="00162789">
        <w:rPr>
          <w:lang w:val="fr-FR"/>
        </w:rPr>
        <w:t>’</w:t>
      </w:r>
      <w:r w:rsidRPr="008F309E">
        <w:rPr>
          <w:lang w:val="fr-FR"/>
        </w:rPr>
        <w:t xml:space="preserve">article 670 § 1 du code de procédure pénale (le « CPP » </w:t>
      </w:r>
      <w:r w:rsidR="00A53834" w:rsidRPr="008F309E">
        <w:rPr>
          <w:lang w:val="fr-FR"/>
        </w:rPr>
        <w:t>– paragraphe</w:t>
      </w:r>
      <w:r w:rsidR="001864B2" w:rsidRPr="008F309E">
        <w:rPr>
          <w:lang w:val="fr-FR"/>
        </w:rPr>
        <w:t> </w:t>
      </w:r>
      <w:r w:rsidR="007501D0">
        <w:rPr>
          <w:noProof/>
          <w:lang w:val="fr-FR"/>
        </w:rPr>
        <w:t>49</w:t>
      </w:r>
      <w:r w:rsidR="00A53834" w:rsidRPr="008F309E">
        <w:rPr>
          <w:lang w:val="fr-FR"/>
        </w:rPr>
        <w:t xml:space="preserve"> </w:t>
      </w:r>
      <w:r w:rsidRPr="008F309E">
        <w:rPr>
          <w:lang w:val="fr-FR"/>
        </w:rPr>
        <w:t>ci-après). Il allégua que la déclaration de fuite et la procédure par contumace devaient être considérées comme nulles et non avenues. Même si une jurisprudence minoritaire (démentie en 2003 par les sections réunies de la Cour de cassation) considérait que la détention sous écrou extraditionnel n</w:t>
      </w:r>
      <w:r w:rsidR="00162789">
        <w:rPr>
          <w:lang w:val="fr-FR"/>
        </w:rPr>
        <w:t>’</w:t>
      </w:r>
      <w:r w:rsidRPr="008F309E">
        <w:rPr>
          <w:lang w:val="fr-FR"/>
        </w:rPr>
        <w:t>était pas un empêchement légitime justifiant une absence aux débats lorsque l</w:t>
      </w:r>
      <w:r w:rsidR="00162789">
        <w:rPr>
          <w:lang w:val="fr-FR"/>
        </w:rPr>
        <w:t>’</w:t>
      </w:r>
      <w:r w:rsidRPr="008F309E">
        <w:rPr>
          <w:lang w:val="fr-FR"/>
        </w:rPr>
        <w:t>intéressé s</w:t>
      </w:r>
      <w:r w:rsidR="00162789">
        <w:rPr>
          <w:lang w:val="fr-FR"/>
        </w:rPr>
        <w:t>’</w:t>
      </w:r>
      <w:r w:rsidRPr="008F309E">
        <w:rPr>
          <w:lang w:val="fr-FR"/>
        </w:rPr>
        <w:t>opposait à l</w:t>
      </w:r>
      <w:r w:rsidR="00162789">
        <w:rPr>
          <w:lang w:val="fr-FR"/>
        </w:rPr>
        <w:t>’</w:t>
      </w:r>
      <w:r w:rsidRPr="008F309E">
        <w:rPr>
          <w:lang w:val="fr-FR"/>
        </w:rPr>
        <w:t>extradition, le requérant estima que son placement sous écrou extraditionnel était de toute manière incompatible avec une déclaration de fuite. Dès lors, les arrêts de condamnation n</w:t>
      </w:r>
      <w:r w:rsidR="00162789">
        <w:rPr>
          <w:lang w:val="fr-FR"/>
        </w:rPr>
        <w:t>’</w:t>
      </w:r>
      <w:r w:rsidRPr="008F309E">
        <w:rPr>
          <w:lang w:val="fr-FR"/>
        </w:rPr>
        <w:t xml:space="preserve">auraient pas dû être notifiés à son avocat, mais au requérant lui-même </w:t>
      </w:r>
      <w:r w:rsidR="00EC2DED" w:rsidRPr="008F309E">
        <w:rPr>
          <w:lang w:val="fr-FR"/>
        </w:rPr>
        <w:t>sur</w:t>
      </w:r>
      <w:r w:rsidRPr="008F309E">
        <w:rPr>
          <w:lang w:val="fr-FR"/>
        </w:rPr>
        <w:t xml:space="preserve"> son lieu de détention au Brésil. </w:t>
      </w:r>
      <w:r w:rsidR="00A53834" w:rsidRPr="008F309E">
        <w:rPr>
          <w:lang w:val="fr-FR"/>
        </w:rPr>
        <w:t>L</w:t>
      </w:r>
      <w:r w:rsidR="00162789">
        <w:rPr>
          <w:lang w:val="fr-FR"/>
        </w:rPr>
        <w:t>’</w:t>
      </w:r>
      <w:r w:rsidR="00A53834" w:rsidRPr="008F309E">
        <w:rPr>
          <w:lang w:val="fr-FR"/>
        </w:rPr>
        <w:t>intéressé</w:t>
      </w:r>
      <w:r w:rsidRPr="008F309E">
        <w:rPr>
          <w:lang w:val="fr-FR"/>
        </w:rPr>
        <w:t xml:space="preserve"> demanda par conséquent que sa condamnation </w:t>
      </w:r>
      <w:r w:rsidR="00EC2DED" w:rsidRPr="008F309E">
        <w:rPr>
          <w:lang w:val="fr-FR"/>
        </w:rPr>
        <w:t>soit</w:t>
      </w:r>
      <w:r w:rsidRPr="008F309E">
        <w:rPr>
          <w:lang w:val="fr-FR"/>
        </w:rPr>
        <w:t xml:space="preserve"> déclarée non-exécutoire </w:t>
      </w:r>
      <w:r w:rsidRPr="004E4E55">
        <w:rPr>
          <w:lang w:val="fr-FR"/>
        </w:rPr>
        <w:t xml:space="preserve">et </w:t>
      </w:r>
      <w:r w:rsidR="00EC2DED" w:rsidRPr="004E4E55">
        <w:rPr>
          <w:lang w:val="fr-FR"/>
        </w:rPr>
        <w:t>une nouvelle</w:t>
      </w:r>
      <w:r w:rsidRPr="004E4E55">
        <w:rPr>
          <w:lang w:val="fr-FR"/>
        </w:rPr>
        <w:t xml:space="preserve"> notification de l</w:t>
      </w:r>
      <w:r w:rsidR="00162789">
        <w:rPr>
          <w:lang w:val="fr-FR"/>
        </w:rPr>
        <w:t>’</w:t>
      </w:r>
      <w:r w:rsidRPr="004E4E55">
        <w:rPr>
          <w:lang w:val="fr-FR"/>
        </w:rPr>
        <w:t>arrêt de première instance,</w:t>
      </w:r>
      <w:r w:rsidRPr="008F309E">
        <w:rPr>
          <w:lang w:val="fr-FR"/>
        </w:rPr>
        <w:t xml:space="preserve"> en lui donnant la possibilité d</w:t>
      </w:r>
      <w:r w:rsidR="00162789">
        <w:rPr>
          <w:lang w:val="fr-FR"/>
        </w:rPr>
        <w:t>’</w:t>
      </w:r>
      <w:r w:rsidRPr="008F309E">
        <w:rPr>
          <w:lang w:val="fr-FR"/>
        </w:rPr>
        <w:t>interjeter appel et de participer à son procès.</w:t>
      </w:r>
    </w:p>
    <w:bookmarkStart w:id="14" w:name="giurisprudenzaHunzuneanu"/>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26</w:t>
      </w:r>
      <w:r w:rsidRPr="008F309E">
        <w:rPr>
          <w:lang w:val="fr-FR"/>
        </w:rPr>
        <w:fldChar w:fldCharType="end"/>
      </w:r>
      <w:bookmarkEnd w:id="14"/>
      <w:r w:rsidRPr="008F309E">
        <w:rPr>
          <w:lang w:val="fr-FR"/>
        </w:rPr>
        <w:t>.  Dans un mémoire déposé à l</w:t>
      </w:r>
      <w:r w:rsidR="00162789">
        <w:rPr>
          <w:lang w:val="fr-FR"/>
        </w:rPr>
        <w:t>’</w:t>
      </w:r>
      <w:r w:rsidRPr="008F309E">
        <w:rPr>
          <w:lang w:val="fr-FR"/>
        </w:rPr>
        <w:t>audience du 18 mars 2008, le requérant précisa qu</w:t>
      </w:r>
      <w:r w:rsidR="00162789">
        <w:rPr>
          <w:lang w:val="fr-FR"/>
        </w:rPr>
        <w:t>’</w:t>
      </w:r>
      <w:r w:rsidRPr="008F309E">
        <w:rPr>
          <w:lang w:val="fr-FR"/>
        </w:rPr>
        <w:t>il était vrai que son avocat avait interjeté appel et s</w:t>
      </w:r>
      <w:r w:rsidR="00162789">
        <w:rPr>
          <w:lang w:val="fr-FR"/>
        </w:rPr>
        <w:t>’</w:t>
      </w:r>
      <w:r w:rsidRPr="008F309E">
        <w:rPr>
          <w:lang w:val="fr-FR"/>
        </w:rPr>
        <w:t xml:space="preserve">était pourvu en cassation, épuisant </w:t>
      </w:r>
      <w:r w:rsidR="0033554E" w:rsidRPr="008F309E">
        <w:rPr>
          <w:lang w:val="fr-FR"/>
        </w:rPr>
        <w:t xml:space="preserve">ainsi </w:t>
      </w:r>
      <w:r w:rsidRPr="008F309E">
        <w:rPr>
          <w:lang w:val="fr-FR"/>
        </w:rPr>
        <w:t>les voies de recours contre sa condamnation. Cette circonstance, selon un arrêt des sections réunies de la Cour de cassation (n</w:t>
      </w:r>
      <w:r w:rsidR="005559D3" w:rsidRPr="005559D3">
        <w:rPr>
          <w:vertAlign w:val="superscript"/>
          <w:lang w:val="fr-FR"/>
        </w:rPr>
        <w:t>o</w:t>
      </w:r>
      <w:r w:rsidRPr="008F309E">
        <w:rPr>
          <w:lang w:val="fr-FR"/>
        </w:rPr>
        <w:t xml:space="preserve"> 6026 du 31 janvier 2008, Rv 238472, </w:t>
      </w:r>
      <w:r w:rsidRPr="008F309E">
        <w:rPr>
          <w:i/>
          <w:lang w:val="fr-FR"/>
        </w:rPr>
        <w:t>Huzuneanu</w:t>
      </w:r>
      <w:r w:rsidRPr="008F309E">
        <w:rPr>
          <w:lang w:val="fr-FR"/>
        </w:rPr>
        <w:t>), empêchait d</w:t>
      </w:r>
      <w:r w:rsidR="00162789">
        <w:rPr>
          <w:lang w:val="fr-FR"/>
        </w:rPr>
        <w:t>’</w:t>
      </w:r>
      <w:r w:rsidRPr="008F309E">
        <w:rPr>
          <w:lang w:val="fr-FR"/>
        </w:rPr>
        <w:t xml:space="preserve">accueillir une éventuelle demande en relèvement de forclusion </w:t>
      </w:r>
      <w:r w:rsidR="0033554E" w:rsidRPr="008F309E">
        <w:rPr>
          <w:lang w:val="fr-FR"/>
        </w:rPr>
        <w:t>en vertu</w:t>
      </w:r>
      <w:r w:rsidRPr="008F309E">
        <w:rPr>
          <w:lang w:val="fr-FR"/>
        </w:rPr>
        <w:t xml:space="preserve"> de l</w:t>
      </w:r>
      <w:r w:rsidR="00162789">
        <w:rPr>
          <w:lang w:val="fr-FR"/>
        </w:rPr>
        <w:t>’</w:t>
      </w:r>
      <w:r w:rsidRPr="008F309E">
        <w:rPr>
          <w:lang w:val="fr-FR"/>
        </w:rPr>
        <w:t>article 175 du CPP (</w:t>
      </w:r>
      <w:r w:rsidR="00A53834" w:rsidRPr="008F309E">
        <w:rPr>
          <w:lang w:val="fr-FR"/>
        </w:rPr>
        <w:t>paragraphe</w:t>
      </w:r>
      <w:r w:rsidR="004D6DCB" w:rsidRPr="008F309E">
        <w:rPr>
          <w:lang w:val="fr-FR"/>
        </w:rPr>
        <w:t>s</w:t>
      </w:r>
      <w:r w:rsidR="00A53834" w:rsidRPr="008F309E">
        <w:rPr>
          <w:lang w:val="fr-FR"/>
        </w:rPr>
        <w:t xml:space="preserve"> </w:t>
      </w:r>
      <w:r w:rsidR="007501D0">
        <w:rPr>
          <w:noProof/>
          <w:lang w:val="fr-FR"/>
        </w:rPr>
        <w:t>50</w:t>
      </w:r>
      <w:r w:rsidR="004D6DCB" w:rsidRPr="008F309E">
        <w:rPr>
          <w:lang w:val="fr-FR"/>
        </w:rPr>
        <w:t xml:space="preserve"> et </w:t>
      </w:r>
      <w:r w:rsidR="007501D0">
        <w:rPr>
          <w:noProof/>
          <w:lang w:val="fr-FR"/>
        </w:rPr>
        <w:t>53</w:t>
      </w:r>
      <w:r w:rsidR="004D6DCB" w:rsidRPr="008F309E">
        <w:rPr>
          <w:lang w:val="fr-FR"/>
        </w:rPr>
        <w:t>-</w:t>
      </w:r>
      <w:r w:rsidR="007501D0">
        <w:rPr>
          <w:noProof/>
          <w:lang w:val="fr-FR"/>
        </w:rPr>
        <w:t>54</w:t>
      </w:r>
      <w:r w:rsidRPr="008F309E">
        <w:rPr>
          <w:lang w:val="fr-FR"/>
        </w:rPr>
        <w:t xml:space="preserve"> ci-après). Cependant, de l</w:t>
      </w:r>
      <w:r w:rsidR="00162789">
        <w:rPr>
          <w:lang w:val="fr-FR"/>
        </w:rPr>
        <w:t>’</w:t>
      </w:r>
      <w:r w:rsidRPr="008F309E">
        <w:rPr>
          <w:lang w:val="fr-FR"/>
        </w:rPr>
        <w:t>avis du requérant, ceci n</w:t>
      </w:r>
      <w:r w:rsidR="00162789">
        <w:rPr>
          <w:lang w:val="fr-FR"/>
        </w:rPr>
        <w:t>’</w:t>
      </w:r>
      <w:r w:rsidRPr="008F309E">
        <w:rPr>
          <w:lang w:val="fr-FR"/>
        </w:rPr>
        <w:t>avait aucune importance dans le cadre de l</w:t>
      </w:r>
      <w:r w:rsidR="00162789">
        <w:rPr>
          <w:lang w:val="fr-FR"/>
        </w:rPr>
        <w:t>’</w:t>
      </w:r>
      <w:r w:rsidRPr="008F309E">
        <w:rPr>
          <w:lang w:val="fr-FR"/>
        </w:rPr>
        <w:t>examen de son incident d</w:t>
      </w:r>
      <w:r w:rsidR="00162789">
        <w:rPr>
          <w:lang w:val="fr-FR"/>
        </w:rPr>
        <w:t>’</w:t>
      </w:r>
      <w:r w:rsidRPr="008F309E">
        <w:rPr>
          <w:lang w:val="fr-FR"/>
        </w:rPr>
        <w:t>exécution. Il soulignait à cet égard que lorsqu</w:t>
      </w:r>
      <w:r w:rsidR="00162789">
        <w:rPr>
          <w:lang w:val="fr-FR"/>
        </w:rPr>
        <w:t>’</w:t>
      </w:r>
      <w:r w:rsidRPr="008F309E">
        <w:rPr>
          <w:lang w:val="fr-FR"/>
        </w:rPr>
        <w:t xml:space="preserve">il avait nommé son défenseur dans le cadre de la procédure pénale, le requérant ne lui avait pas conféré mandat </w:t>
      </w:r>
      <w:r w:rsidR="0033554E" w:rsidRPr="008F309E">
        <w:rPr>
          <w:lang w:val="fr-FR"/>
        </w:rPr>
        <w:t>d</w:t>
      </w:r>
      <w:r w:rsidR="00162789">
        <w:rPr>
          <w:lang w:val="fr-FR"/>
        </w:rPr>
        <w:t>’</w:t>
      </w:r>
      <w:r w:rsidRPr="008F309E">
        <w:rPr>
          <w:lang w:val="fr-FR"/>
        </w:rPr>
        <w:t xml:space="preserve">attaquer les décisions </w:t>
      </w:r>
      <w:r w:rsidR="00A53834" w:rsidRPr="008F309E">
        <w:rPr>
          <w:lang w:val="fr-FR"/>
        </w:rPr>
        <w:t>prononcé</w:t>
      </w:r>
      <w:r w:rsidRPr="008F309E">
        <w:rPr>
          <w:lang w:val="fr-FR"/>
        </w:rPr>
        <w:t>es par contumace. Or, l</w:t>
      </w:r>
      <w:r w:rsidR="00162789">
        <w:rPr>
          <w:lang w:val="fr-FR"/>
        </w:rPr>
        <w:t>’</w:t>
      </w:r>
      <w:r w:rsidRPr="008F309E">
        <w:rPr>
          <w:lang w:val="fr-FR"/>
        </w:rPr>
        <w:t>article 571 § 3 du CPP, tel qu</w:t>
      </w:r>
      <w:r w:rsidR="00162789">
        <w:rPr>
          <w:lang w:val="fr-FR"/>
        </w:rPr>
        <w:t>’</w:t>
      </w:r>
      <w:r w:rsidRPr="008F309E">
        <w:rPr>
          <w:lang w:val="fr-FR"/>
        </w:rPr>
        <w:t>en vigueur à l</w:t>
      </w:r>
      <w:r w:rsidR="00162789">
        <w:rPr>
          <w:lang w:val="fr-FR"/>
        </w:rPr>
        <w:t>’</w:t>
      </w:r>
      <w:r w:rsidRPr="008F309E">
        <w:rPr>
          <w:lang w:val="fr-FR"/>
        </w:rPr>
        <w:t>époque des faits, prévoyait qu</w:t>
      </w:r>
      <w:r w:rsidR="00162789">
        <w:rPr>
          <w:lang w:val="fr-FR"/>
        </w:rPr>
        <w:t>’</w:t>
      </w:r>
      <w:r w:rsidRPr="008F309E">
        <w:rPr>
          <w:lang w:val="fr-FR"/>
        </w:rPr>
        <w:t>en l</w:t>
      </w:r>
      <w:r w:rsidR="00162789">
        <w:rPr>
          <w:lang w:val="fr-FR"/>
        </w:rPr>
        <w:t>’</w:t>
      </w:r>
      <w:r w:rsidRPr="008F309E">
        <w:rPr>
          <w:lang w:val="fr-FR"/>
        </w:rPr>
        <w:t>absence d</w:t>
      </w:r>
      <w:r w:rsidR="00162789">
        <w:rPr>
          <w:lang w:val="fr-FR"/>
        </w:rPr>
        <w:t>’</w:t>
      </w:r>
      <w:r w:rsidRPr="008F309E">
        <w:rPr>
          <w:lang w:val="fr-FR"/>
        </w:rPr>
        <w:t>un tel mandat, le défenseur n</w:t>
      </w:r>
      <w:r w:rsidR="00162789">
        <w:rPr>
          <w:lang w:val="fr-FR"/>
        </w:rPr>
        <w:t>’</w:t>
      </w:r>
      <w:r w:rsidRPr="008F309E">
        <w:rPr>
          <w:lang w:val="fr-FR"/>
        </w:rPr>
        <w:t>avait pas le droit d</w:t>
      </w:r>
      <w:r w:rsidR="00162789">
        <w:rPr>
          <w:lang w:val="fr-FR"/>
        </w:rPr>
        <w:t>’</w:t>
      </w:r>
      <w:r w:rsidRPr="008F309E">
        <w:rPr>
          <w:lang w:val="fr-FR"/>
        </w:rPr>
        <w:t>interjeter appel ou de se pourvoir en cassation. Il s</w:t>
      </w:r>
      <w:r w:rsidR="00162789">
        <w:rPr>
          <w:lang w:val="fr-FR"/>
        </w:rPr>
        <w:t>’</w:t>
      </w:r>
      <w:r w:rsidRPr="008F309E">
        <w:rPr>
          <w:lang w:val="fr-FR"/>
        </w:rPr>
        <w:t>ensuivait, selon le requérant, que les autorités devaient lui donner le droit d</w:t>
      </w:r>
      <w:r w:rsidR="00162789">
        <w:rPr>
          <w:lang w:val="fr-FR"/>
        </w:rPr>
        <w:t>’</w:t>
      </w:r>
      <w:r w:rsidRPr="008F309E">
        <w:rPr>
          <w:lang w:val="fr-FR"/>
        </w:rPr>
        <w:t>attaquer sa condamnation à perpétuité.</w:t>
      </w:r>
    </w:p>
    <w:bookmarkStart w:id="15" w:name="rigettoincidenteesecuz1"/>
    <w:p w:rsidR="005559D3"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27</w:t>
      </w:r>
      <w:r w:rsidRPr="008F309E">
        <w:rPr>
          <w:lang w:val="fr-FR"/>
        </w:rPr>
        <w:fldChar w:fldCharType="end"/>
      </w:r>
      <w:bookmarkEnd w:id="15"/>
      <w:r w:rsidRPr="008F309E">
        <w:rPr>
          <w:lang w:val="fr-FR"/>
        </w:rPr>
        <w:t>.  Par une ordonnance du 18 mars 2008, dont le texte fut déposé au greffe le 18 avril 2008, la cour d</w:t>
      </w:r>
      <w:r w:rsidR="00162789">
        <w:rPr>
          <w:lang w:val="fr-FR"/>
        </w:rPr>
        <w:t>’</w:t>
      </w:r>
      <w:r w:rsidRPr="008F309E">
        <w:rPr>
          <w:lang w:val="fr-FR"/>
        </w:rPr>
        <w:t>assises d</w:t>
      </w:r>
      <w:r w:rsidR="00162789">
        <w:rPr>
          <w:lang w:val="fr-FR"/>
        </w:rPr>
        <w:t>’</w:t>
      </w:r>
      <w:r w:rsidRPr="008F309E">
        <w:rPr>
          <w:lang w:val="fr-FR"/>
        </w:rPr>
        <w:t>appel de Reggio de Calabre rejeta l</w:t>
      </w:r>
      <w:r w:rsidR="00162789">
        <w:rPr>
          <w:lang w:val="fr-FR"/>
        </w:rPr>
        <w:t>’</w:t>
      </w:r>
      <w:r w:rsidRPr="008F309E">
        <w:rPr>
          <w:lang w:val="fr-FR"/>
        </w:rPr>
        <w:t>incident d</w:t>
      </w:r>
      <w:r w:rsidR="00162789">
        <w:rPr>
          <w:lang w:val="fr-FR"/>
        </w:rPr>
        <w:t>’</w:t>
      </w:r>
      <w:r w:rsidRPr="008F309E">
        <w:rPr>
          <w:lang w:val="fr-FR"/>
        </w:rPr>
        <w:t>exécution du requérant.</w:t>
      </w:r>
    </w:p>
    <w:bookmarkStart w:id="16" w:name="rigettoincidenteesecuz2"/>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28</w:t>
      </w:r>
      <w:r w:rsidRPr="008F309E">
        <w:rPr>
          <w:lang w:val="fr-FR"/>
        </w:rPr>
        <w:fldChar w:fldCharType="end"/>
      </w:r>
      <w:bookmarkEnd w:id="16"/>
      <w:r w:rsidRPr="008F309E">
        <w:rPr>
          <w:lang w:val="fr-FR"/>
        </w:rPr>
        <w:t>.  Elle observa en premier lieu que la tâche confiée au juge de l</w:t>
      </w:r>
      <w:r w:rsidR="00162789">
        <w:rPr>
          <w:lang w:val="fr-FR"/>
        </w:rPr>
        <w:t>’</w:t>
      </w:r>
      <w:r w:rsidRPr="008F309E">
        <w:rPr>
          <w:lang w:val="fr-FR"/>
        </w:rPr>
        <w:t>exécution était celle de contrôler l</w:t>
      </w:r>
      <w:r w:rsidR="00162789">
        <w:rPr>
          <w:lang w:val="fr-FR"/>
        </w:rPr>
        <w:t>’</w:t>
      </w:r>
      <w:r w:rsidRPr="008F309E">
        <w:rPr>
          <w:lang w:val="fr-FR"/>
        </w:rPr>
        <w:t>existence d</w:t>
      </w:r>
      <w:r w:rsidR="00162789">
        <w:rPr>
          <w:lang w:val="fr-FR"/>
        </w:rPr>
        <w:t>’</w:t>
      </w:r>
      <w:r w:rsidRPr="008F309E">
        <w:rPr>
          <w:lang w:val="fr-FR"/>
        </w:rPr>
        <w:t xml:space="preserve">un titre exécutoire et la légitimité de son émission. </w:t>
      </w:r>
      <w:r w:rsidR="0076108C" w:rsidRPr="008F309E">
        <w:rPr>
          <w:lang w:val="fr-FR"/>
        </w:rPr>
        <w:t>D</w:t>
      </w:r>
      <w:r w:rsidR="00162789">
        <w:rPr>
          <w:lang w:val="fr-FR"/>
        </w:rPr>
        <w:t>’</w:t>
      </w:r>
      <w:r w:rsidR="0076108C" w:rsidRPr="008F309E">
        <w:rPr>
          <w:lang w:val="fr-FR"/>
        </w:rPr>
        <w:t>après</w:t>
      </w:r>
      <w:r w:rsidRPr="008F309E">
        <w:rPr>
          <w:lang w:val="fr-FR"/>
        </w:rPr>
        <w:t xml:space="preserve"> la jurisprudence de la Cour de cassation (première section, arrêt n</w:t>
      </w:r>
      <w:r w:rsidR="005559D3" w:rsidRPr="005559D3">
        <w:rPr>
          <w:vertAlign w:val="superscript"/>
          <w:lang w:val="fr-FR"/>
        </w:rPr>
        <w:t>o</w:t>
      </w:r>
      <w:r w:rsidRPr="008F309E">
        <w:rPr>
          <w:lang w:val="fr-FR"/>
        </w:rPr>
        <w:t xml:space="preserve"> 3517 du 15 juin 1998), les nullités</w:t>
      </w:r>
      <w:r w:rsidR="0076108C" w:rsidRPr="008F309E">
        <w:rPr>
          <w:lang w:val="fr-FR"/>
        </w:rPr>
        <w:t>,</w:t>
      </w:r>
      <w:r w:rsidRPr="008F309E">
        <w:rPr>
          <w:lang w:val="fr-FR"/>
        </w:rPr>
        <w:t xml:space="preserve"> s</w:t>
      </w:r>
      <w:r w:rsidR="00162789">
        <w:rPr>
          <w:lang w:val="fr-FR"/>
        </w:rPr>
        <w:t>’</w:t>
      </w:r>
      <w:r w:rsidRPr="008F309E">
        <w:rPr>
          <w:lang w:val="fr-FR"/>
        </w:rPr>
        <w:t>étant vérifiées avant la condamnation définitive</w:t>
      </w:r>
      <w:r w:rsidR="0076108C" w:rsidRPr="008F309E">
        <w:rPr>
          <w:lang w:val="fr-FR"/>
        </w:rPr>
        <w:t>,</w:t>
      </w:r>
      <w:r w:rsidRPr="008F309E">
        <w:rPr>
          <w:lang w:val="fr-FR"/>
        </w:rPr>
        <w:t xml:space="preserve"> étaient sans importance, </w:t>
      </w:r>
      <w:r w:rsidRPr="008F309E">
        <w:rPr>
          <w:lang w:val="fr-FR"/>
        </w:rPr>
        <w:lastRenderedPageBreak/>
        <w:t>l</w:t>
      </w:r>
      <w:r w:rsidR="00162789">
        <w:rPr>
          <w:lang w:val="fr-FR"/>
        </w:rPr>
        <w:t>’</w:t>
      </w:r>
      <w:r w:rsidRPr="008F309E">
        <w:rPr>
          <w:lang w:val="fr-FR"/>
        </w:rPr>
        <w:t>analyse du juge de l</w:t>
      </w:r>
      <w:r w:rsidR="00162789">
        <w:rPr>
          <w:lang w:val="fr-FR"/>
        </w:rPr>
        <w:t>’</w:t>
      </w:r>
      <w:r w:rsidRPr="008F309E">
        <w:rPr>
          <w:lang w:val="fr-FR"/>
        </w:rPr>
        <w:t>exécution devant porter seulement sur la régularité formelle et substantielle du titre exécutoire. Lorsqu</w:t>
      </w:r>
      <w:r w:rsidR="00162789">
        <w:rPr>
          <w:lang w:val="fr-FR"/>
        </w:rPr>
        <w:t>’</w:t>
      </w:r>
      <w:r w:rsidRPr="008F309E">
        <w:rPr>
          <w:lang w:val="fr-FR"/>
        </w:rPr>
        <w:t xml:space="preserve">il mentionnait le « respect des garanties prévues pour le cas où le condamné </w:t>
      </w:r>
      <w:r w:rsidR="004D6DCB" w:rsidRPr="008F309E">
        <w:rPr>
          <w:lang w:val="fr-FR"/>
        </w:rPr>
        <w:t>[était]</w:t>
      </w:r>
      <w:r w:rsidRPr="008F309E">
        <w:rPr>
          <w:lang w:val="fr-FR"/>
        </w:rPr>
        <w:t xml:space="preserve"> introuvable », l</w:t>
      </w:r>
      <w:r w:rsidR="00162789">
        <w:rPr>
          <w:lang w:val="fr-FR"/>
        </w:rPr>
        <w:t>’</w:t>
      </w:r>
      <w:r w:rsidRPr="008F309E">
        <w:rPr>
          <w:lang w:val="fr-FR"/>
        </w:rPr>
        <w:t xml:space="preserve">article 670 du CPP se référait aux irrégularités ayant eu lieu après, et non avant, la condamnation définitive. Toute erreur de fait </w:t>
      </w:r>
      <w:r w:rsidRPr="008F309E">
        <w:rPr>
          <w:i/>
          <w:lang w:val="fr-FR"/>
        </w:rPr>
        <w:t xml:space="preserve">in iudicando </w:t>
      </w:r>
      <w:r w:rsidRPr="008F309E">
        <w:rPr>
          <w:lang w:val="fr-FR"/>
        </w:rPr>
        <w:t xml:space="preserve">ou </w:t>
      </w:r>
      <w:r w:rsidRPr="008F309E">
        <w:rPr>
          <w:i/>
          <w:lang w:val="fr-FR"/>
        </w:rPr>
        <w:t xml:space="preserve">in procedendo </w:t>
      </w:r>
      <w:r w:rsidRPr="008F309E">
        <w:rPr>
          <w:lang w:val="fr-FR"/>
        </w:rPr>
        <w:t>devait faire l</w:t>
      </w:r>
      <w:r w:rsidR="00162789">
        <w:rPr>
          <w:lang w:val="fr-FR"/>
        </w:rPr>
        <w:t>’</w:t>
      </w:r>
      <w:r w:rsidRPr="008F309E">
        <w:rPr>
          <w:lang w:val="fr-FR"/>
        </w:rPr>
        <w:t>objet d</w:t>
      </w:r>
      <w:r w:rsidR="00162789">
        <w:rPr>
          <w:lang w:val="fr-FR"/>
        </w:rPr>
        <w:t>’</w:t>
      </w:r>
      <w:r w:rsidRPr="008F309E">
        <w:rPr>
          <w:lang w:val="fr-FR"/>
        </w:rPr>
        <w:t xml:space="preserve">un recours </w:t>
      </w:r>
      <w:r w:rsidRPr="008F309E">
        <w:rPr>
          <w:i/>
          <w:lang w:val="fr-FR"/>
        </w:rPr>
        <w:t xml:space="preserve">ad hoc </w:t>
      </w:r>
      <w:r w:rsidRPr="008F309E">
        <w:rPr>
          <w:lang w:val="fr-FR"/>
        </w:rPr>
        <w:t>dans le cadre de la procédure pénale sur le bien-fondé des accusations, et échappait à la compétence du juge de l</w:t>
      </w:r>
      <w:r w:rsidR="00162789">
        <w:rPr>
          <w:lang w:val="fr-FR"/>
        </w:rPr>
        <w:t>’</w:t>
      </w:r>
      <w:r w:rsidRPr="008F309E">
        <w:rPr>
          <w:lang w:val="fr-FR"/>
        </w:rPr>
        <w:t>exécution.</w:t>
      </w:r>
    </w:p>
    <w:bookmarkStart w:id="17" w:name="rigettoincidenteesecuz3"/>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29</w:t>
      </w:r>
      <w:r w:rsidRPr="008F309E">
        <w:rPr>
          <w:lang w:val="fr-FR"/>
        </w:rPr>
        <w:fldChar w:fldCharType="end"/>
      </w:r>
      <w:bookmarkEnd w:id="17"/>
      <w:r w:rsidRPr="008F309E">
        <w:rPr>
          <w:lang w:val="fr-FR"/>
        </w:rPr>
        <w:t>.  En l</w:t>
      </w:r>
      <w:r w:rsidR="00162789">
        <w:rPr>
          <w:lang w:val="fr-FR"/>
        </w:rPr>
        <w:t>’</w:t>
      </w:r>
      <w:r w:rsidRPr="008F309E">
        <w:rPr>
          <w:lang w:val="fr-FR"/>
        </w:rPr>
        <w:t>espèce, l</w:t>
      </w:r>
      <w:r w:rsidR="00162789">
        <w:rPr>
          <w:lang w:val="fr-FR"/>
        </w:rPr>
        <w:t>’</w:t>
      </w:r>
      <w:r w:rsidRPr="008F309E">
        <w:rPr>
          <w:lang w:val="fr-FR"/>
        </w:rPr>
        <w:t>avocat du requérant avait excipé de l</w:t>
      </w:r>
      <w:r w:rsidR="00162789">
        <w:rPr>
          <w:lang w:val="fr-FR"/>
        </w:rPr>
        <w:t>’</w:t>
      </w:r>
      <w:r w:rsidRPr="008F309E">
        <w:rPr>
          <w:lang w:val="fr-FR"/>
        </w:rPr>
        <w:t>invalidité de la déclaration de fuite et d</w:t>
      </w:r>
      <w:r w:rsidR="004D6DCB" w:rsidRPr="008F309E">
        <w:rPr>
          <w:lang w:val="fr-FR"/>
        </w:rPr>
        <w:t>e la sentence</w:t>
      </w:r>
      <w:r w:rsidRPr="008F309E">
        <w:rPr>
          <w:lang w:val="fr-FR"/>
        </w:rPr>
        <w:t xml:space="preserve"> par contumace </w:t>
      </w:r>
      <w:r w:rsidR="0076108C" w:rsidRPr="008F309E">
        <w:rPr>
          <w:lang w:val="fr-FR"/>
        </w:rPr>
        <w:t>au</w:t>
      </w:r>
      <w:r w:rsidRPr="008F309E">
        <w:rPr>
          <w:lang w:val="fr-FR"/>
        </w:rPr>
        <w:t xml:space="preserve"> moyen d</w:t>
      </w:r>
      <w:r w:rsidR="00162789">
        <w:rPr>
          <w:lang w:val="fr-FR"/>
        </w:rPr>
        <w:t>’</w:t>
      </w:r>
      <w:r w:rsidRPr="008F309E">
        <w:rPr>
          <w:lang w:val="fr-FR"/>
        </w:rPr>
        <w:t>un appel et d</w:t>
      </w:r>
      <w:r w:rsidR="00162789">
        <w:rPr>
          <w:lang w:val="fr-FR"/>
        </w:rPr>
        <w:t>’</w:t>
      </w:r>
      <w:r w:rsidRPr="008F309E">
        <w:rPr>
          <w:lang w:val="fr-FR"/>
        </w:rPr>
        <w:t>un pourvoi en cassation. La cour d</w:t>
      </w:r>
      <w:r w:rsidR="00162789">
        <w:rPr>
          <w:lang w:val="fr-FR"/>
        </w:rPr>
        <w:t>’</w:t>
      </w:r>
      <w:r w:rsidRPr="008F309E">
        <w:rPr>
          <w:lang w:val="fr-FR"/>
        </w:rPr>
        <w:t>assises d</w:t>
      </w:r>
      <w:r w:rsidR="00162789">
        <w:rPr>
          <w:lang w:val="fr-FR"/>
        </w:rPr>
        <w:t>’</w:t>
      </w:r>
      <w:r w:rsidRPr="008F309E">
        <w:rPr>
          <w:lang w:val="fr-FR"/>
        </w:rPr>
        <w:t>appel et la Cour de cassation s</w:t>
      </w:r>
      <w:r w:rsidR="00162789">
        <w:rPr>
          <w:lang w:val="fr-FR"/>
        </w:rPr>
        <w:t>’</w:t>
      </w:r>
      <w:r w:rsidRPr="008F309E">
        <w:rPr>
          <w:lang w:val="fr-FR"/>
        </w:rPr>
        <w:t>étaient penchées sur cette exception et l</w:t>
      </w:r>
      <w:r w:rsidR="00162789">
        <w:rPr>
          <w:lang w:val="fr-FR"/>
        </w:rPr>
        <w:t>’</w:t>
      </w:r>
      <w:r w:rsidRPr="008F309E">
        <w:rPr>
          <w:lang w:val="fr-FR"/>
        </w:rPr>
        <w:t>avaient rejetée. Il s</w:t>
      </w:r>
      <w:r w:rsidR="00162789">
        <w:rPr>
          <w:lang w:val="fr-FR"/>
        </w:rPr>
        <w:t>’</w:t>
      </w:r>
      <w:r w:rsidRPr="008F309E">
        <w:rPr>
          <w:lang w:val="fr-FR"/>
        </w:rPr>
        <w:t xml:space="preserve">ensuivait que toute question concernant la décision de juger le requérant par contumace était désormais </w:t>
      </w:r>
      <w:r w:rsidR="004D6DCB" w:rsidRPr="008F309E">
        <w:rPr>
          <w:lang w:val="fr-FR"/>
        </w:rPr>
        <w:t>passée</w:t>
      </w:r>
      <w:r w:rsidRPr="008F309E">
        <w:rPr>
          <w:lang w:val="fr-FR"/>
        </w:rPr>
        <w:t xml:space="preserve"> </w:t>
      </w:r>
      <w:r w:rsidR="004D6DCB" w:rsidRPr="008F309E">
        <w:rPr>
          <w:lang w:val="fr-FR"/>
        </w:rPr>
        <w:t>en force</w:t>
      </w:r>
      <w:r w:rsidRPr="008F309E">
        <w:rPr>
          <w:lang w:val="fr-FR"/>
        </w:rPr>
        <w:t xml:space="preserve"> de chose jugée.</w:t>
      </w:r>
    </w:p>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30</w:t>
      </w:r>
      <w:r w:rsidRPr="008F309E">
        <w:rPr>
          <w:lang w:val="fr-FR"/>
        </w:rPr>
        <w:fldChar w:fldCharType="end"/>
      </w:r>
      <w:r w:rsidRPr="008F309E">
        <w:rPr>
          <w:lang w:val="fr-FR"/>
        </w:rPr>
        <w:t>.  Ces considérations rendaient superflu l</w:t>
      </w:r>
      <w:r w:rsidR="00162789">
        <w:rPr>
          <w:lang w:val="fr-FR"/>
        </w:rPr>
        <w:t>’</w:t>
      </w:r>
      <w:r w:rsidRPr="008F309E">
        <w:rPr>
          <w:lang w:val="fr-FR"/>
        </w:rPr>
        <w:t>examen des arguments exposés par le requérant dans son mémoire du 18 mars 2008</w:t>
      </w:r>
      <w:r w:rsidR="004D6DCB" w:rsidRPr="008F309E">
        <w:rPr>
          <w:lang w:val="fr-FR"/>
        </w:rPr>
        <w:t xml:space="preserve"> (paragraphe </w:t>
      </w:r>
      <w:r w:rsidR="007501D0">
        <w:rPr>
          <w:noProof/>
          <w:lang w:val="fr-FR"/>
        </w:rPr>
        <w:t>26</w:t>
      </w:r>
      <w:r w:rsidR="004D6DCB" w:rsidRPr="008F309E">
        <w:rPr>
          <w:lang w:val="fr-FR"/>
        </w:rPr>
        <w:t xml:space="preserve"> ci-dessus)</w:t>
      </w:r>
      <w:r w:rsidRPr="008F309E">
        <w:rPr>
          <w:lang w:val="fr-FR"/>
        </w:rPr>
        <w:t>.</w:t>
      </w:r>
    </w:p>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31</w:t>
      </w:r>
      <w:r w:rsidRPr="008F309E">
        <w:rPr>
          <w:lang w:val="fr-FR"/>
        </w:rPr>
        <w:fldChar w:fldCharType="end"/>
      </w:r>
      <w:r w:rsidRPr="008F309E">
        <w:rPr>
          <w:lang w:val="fr-FR"/>
        </w:rPr>
        <w:t>.  Le requérant se pourvut en cassation.</w:t>
      </w:r>
    </w:p>
    <w:bookmarkStart w:id="18" w:name="Ccasssuincidenteesecuzione"/>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32</w:t>
      </w:r>
      <w:r w:rsidRPr="008F309E">
        <w:rPr>
          <w:lang w:val="fr-FR"/>
        </w:rPr>
        <w:fldChar w:fldCharType="end"/>
      </w:r>
      <w:bookmarkEnd w:id="18"/>
      <w:r w:rsidRPr="008F309E">
        <w:rPr>
          <w:lang w:val="fr-FR"/>
        </w:rPr>
        <w:t>.  Par un arrêt du 26 novembre 2008, dont le texte fut déposé au greffe le 3 février 2009, la Cour de cassation, estimant que la cour d</w:t>
      </w:r>
      <w:r w:rsidR="00162789">
        <w:rPr>
          <w:lang w:val="fr-FR"/>
        </w:rPr>
        <w:t>’</w:t>
      </w:r>
      <w:r w:rsidRPr="008F309E">
        <w:rPr>
          <w:lang w:val="fr-FR"/>
        </w:rPr>
        <w:t>assises d</w:t>
      </w:r>
      <w:r w:rsidR="00162789">
        <w:rPr>
          <w:lang w:val="fr-FR"/>
        </w:rPr>
        <w:t>’</w:t>
      </w:r>
      <w:r w:rsidRPr="008F309E">
        <w:rPr>
          <w:lang w:val="fr-FR"/>
        </w:rPr>
        <w:t>appel avait motivé de façon logique et correcte tous les points controversés, débouta le requérant de son pourvoi.</w:t>
      </w:r>
    </w:p>
    <w:p w:rsidR="008D33F2" w:rsidRPr="008F309E" w:rsidRDefault="008D33F2" w:rsidP="008D33F2">
      <w:pPr>
        <w:pStyle w:val="ECHRHeading2"/>
        <w:rPr>
          <w:lang w:val="fr-FR"/>
        </w:rPr>
      </w:pPr>
      <w:r w:rsidRPr="008F309E">
        <w:rPr>
          <w:lang w:val="fr-FR"/>
        </w:rPr>
        <w:t>D.  La demande en relèvement de forclusion du requérant</w:t>
      </w:r>
    </w:p>
    <w:bookmarkStart w:id="19" w:name="CCost3172009"/>
    <w:p w:rsidR="005559D3"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33</w:t>
      </w:r>
      <w:r w:rsidRPr="008F309E">
        <w:rPr>
          <w:lang w:val="fr-FR"/>
        </w:rPr>
        <w:fldChar w:fldCharType="end"/>
      </w:r>
      <w:bookmarkEnd w:id="19"/>
      <w:r w:rsidRPr="008F309E">
        <w:rPr>
          <w:lang w:val="fr-FR"/>
        </w:rPr>
        <w:t>.  Par un arrêt n</w:t>
      </w:r>
      <w:r w:rsidR="005559D3" w:rsidRPr="005559D3">
        <w:rPr>
          <w:vertAlign w:val="superscript"/>
          <w:lang w:val="fr-FR"/>
        </w:rPr>
        <w:t>o</w:t>
      </w:r>
      <w:r w:rsidRPr="008F309E">
        <w:rPr>
          <w:lang w:val="fr-FR"/>
        </w:rPr>
        <w:t xml:space="preserve"> 317 du 30 novembre 2009, la Cour constitutionnelle déclara l</w:t>
      </w:r>
      <w:r w:rsidR="00162789">
        <w:rPr>
          <w:lang w:val="fr-FR"/>
        </w:rPr>
        <w:t>’</w:t>
      </w:r>
      <w:r w:rsidRPr="008F309E">
        <w:rPr>
          <w:lang w:val="fr-FR"/>
        </w:rPr>
        <w:t>article 175 § 2 du CPP inconstitutionnel dans la mesure où il ne permettait pas à l</w:t>
      </w:r>
      <w:r w:rsidR="00162789">
        <w:rPr>
          <w:lang w:val="fr-FR"/>
        </w:rPr>
        <w:t>’</w:t>
      </w:r>
      <w:r w:rsidRPr="008F309E">
        <w:rPr>
          <w:lang w:val="fr-FR"/>
        </w:rPr>
        <w:t xml:space="preserve">accusé </w:t>
      </w:r>
      <w:r w:rsidR="004D6DCB" w:rsidRPr="008F309E">
        <w:rPr>
          <w:lang w:val="fr-FR"/>
        </w:rPr>
        <w:t>qui n</w:t>
      </w:r>
      <w:r w:rsidR="00162789">
        <w:rPr>
          <w:lang w:val="fr-FR"/>
        </w:rPr>
        <w:t>’</w:t>
      </w:r>
      <w:r w:rsidR="004D6DCB" w:rsidRPr="008F309E">
        <w:rPr>
          <w:lang w:val="fr-FR"/>
        </w:rPr>
        <w:t>avait</w:t>
      </w:r>
      <w:r w:rsidRPr="008F309E">
        <w:rPr>
          <w:lang w:val="fr-FR"/>
        </w:rPr>
        <w:t xml:space="preserve"> pas eu connaissance du procès d</w:t>
      </w:r>
      <w:r w:rsidR="00162789">
        <w:rPr>
          <w:lang w:val="fr-FR"/>
        </w:rPr>
        <w:t>’</w:t>
      </w:r>
      <w:r w:rsidRPr="008F309E">
        <w:rPr>
          <w:lang w:val="fr-FR"/>
        </w:rPr>
        <w:t>attaquer un jugement par contumace lorsqu</w:t>
      </w:r>
      <w:r w:rsidR="00162789">
        <w:rPr>
          <w:lang w:val="fr-FR"/>
        </w:rPr>
        <w:t>’</w:t>
      </w:r>
      <w:r w:rsidRPr="008F309E">
        <w:rPr>
          <w:lang w:val="fr-FR"/>
        </w:rPr>
        <w:t>un appel avait déjà été interjeté par le défenseur de l</w:t>
      </w:r>
      <w:r w:rsidR="00162789">
        <w:rPr>
          <w:lang w:val="fr-FR"/>
        </w:rPr>
        <w:t>’</w:t>
      </w:r>
      <w:r w:rsidRPr="008F309E">
        <w:rPr>
          <w:lang w:val="fr-FR"/>
        </w:rPr>
        <w:t>intéressé.</w:t>
      </w:r>
    </w:p>
    <w:bookmarkStart w:id="20" w:name="requintroduitrelevement"/>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34</w:t>
      </w:r>
      <w:r w:rsidRPr="008F309E">
        <w:rPr>
          <w:lang w:val="fr-FR"/>
        </w:rPr>
        <w:fldChar w:fldCharType="end"/>
      </w:r>
      <w:bookmarkEnd w:id="20"/>
      <w:r w:rsidRPr="008F309E">
        <w:rPr>
          <w:lang w:val="fr-FR"/>
        </w:rPr>
        <w:t xml:space="preserve">.  Se fondant sur les principes </w:t>
      </w:r>
      <w:r w:rsidR="003A0514" w:rsidRPr="008F309E">
        <w:rPr>
          <w:lang w:val="fr-FR"/>
        </w:rPr>
        <w:t>énoncés</w:t>
      </w:r>
      <w:r w:rsidRPr="008F309E">
        <w:rPr>
          <w:lang w:val="fr-FR"/>
        </w:rPr>
        <w:t xml:space="preserve"> dans cet arrêt, le requérant introduisit alors une demande en relèvement de forclusion </w:t>
      </w:r>
      <w:r w:rsidR="003A0514" w:rsidRPr="008F309E">
        <w:rPr>
          <w:lang w:val="fr-FR"/>
        </w:rPr>
        <w:t>conformément à</w:t>
      </w:r>
      <w:r w:rsidRPr="008F309E">
        <w:rPr>
          <w:lang w:val="fr-FR"/>
        </w:rPr>
        <w:t xml:space="preserve"> l</w:t>
      </w:r>
      <w:r w:rsidR="00162789">
        <w:rPr>
          <w:lang w:val="fr-FR"/>
        </w:rPr>
        <w:t>’</w:t>
      </w:r>
      <w:r w:rsidRPr="008F309E">
        <w:rPr>
          <w:lang w:val="fr-FR"/>
        </w:rPr>
        <w:t>article 175 § 2 du CPP.</w:t>
      </w:r>
    </w:p>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35</w:t>
      </w:r>
      <w:r w:rsidRPr="008F309E">
        <w:rPr>
          <w:lang w:val="fr-FR"/>
        </w:rPr>
        <w:fldChar w:fldCharType="end"/>
      </w:r>
      <w:r w:rsidRPr="008F309E">
        <w:rPr>
          <w:lang w:val="fr-FR"/>
        </w:rPr>
        <w:t>.  Par une ordonnance du 9 mars 2010, la cour d</w:t>
      </w:r>
      <w:r w:rsidR="00162789">
        <w:rPr>
          <w:lang w:val="fr-FR"/>
        </w:rPr>
        <w:t>’</w:t>
      </w:r>
      <w:r w:rsidRPr="008F309E">
        <w:rPr>
          <w:lang w:val="fr-FR"/>
        </w:rPr>
        <w:t>assises d</w:t>
      </w:r>
      <w:r w:rsidR="00162789">
        <w:rPr>
          <w:lang w:val="fr-FR"/>
        </w:rPr>
        <w:t>’</w:t>
      </w:r>
      <w:r w:rsidRPr="008F309E">
        <w:rPr>
          <w:lang w:val="fr-FR"/>
        </w:rPr>
        <w:t xml:space="preserve">appel de Catanzaro rejeta la demande du requérant. Elle observa que la condamnation du requérant </w:t>
      </w:r>
      <w:r w:rsidR="004D6DCB" w:rsidRPr="008F309E">
        <w:rPr>
          <w:lang w:val="fr-FR"/>
        </w:rPr>
        <w:t>était</w:t>
      </w:r>
      <w:r w:rsidRPr="008F309E">
        <w:rPr>
          <w:lang w:val="fr-FR"/>
        </w:rPr>
        <w:t xml:space="preserve"> désormais </w:t>
      </w:r>
      <w:r w:rsidR="004D6DCB" w:rsidRPr="008F309E">
        <w:rPr>
          <w:lang w:val="fr-FR"/>
        </w:rPr>
        <w:t>passée</w:t>
      </w:r>
      <w:r w:rsidRPr="008F309E">
        <w:rPr>
          <w:lang w:val="fr-FR"/>
        </w:rPr>
        <w:t xml:space="preserve"> </w:t>
      </w:r>
      <w:r w:rsidR="004D6DCB" w:rsidRPr="008F309E">
        <w:rPr>
          <w:lang w:val="fr-FR"/>
        </w:rPr>
        <w:t xml:space="preserve">en </w:t>
      </w:r>
      <w:r w:rsidRPr="008F309E">
        <w:rPr>
          <w:lang w:val="fr-FR"/>
        </w:rPr>
        <w:t>force de chose jugée, étant donné que</w:t>
      </w:r>
      <w:r w:rsidR="003A0514" w:rsidRPr="008F309E">
        <w:rPr>
          <w:lang w:val="fr-FR"/>
        </w:rPr>
        <w:t>,</w:t>
      </w:r>
      <w:r w:rsidRPr="008F309E">
        <w:rPr>
          <w:lang w:val="fr-FR"/>
        </w:rPr>
        <w:t xml:space="preserve"> le 3 juillet 2000, la Cour de cassation avait débouté l</w:t>
      </w:r>
      <w:r w:rsidR="00162789">
        <w:rPr>
          <w:lang w:val="fr-FR"/>
        </w:rPr>
        <w:t>’</w:t>
      </w:r>
      <w:r w:rsidRPr="008F309E">
        <w:rPr>
          <w:lang w:val="fr-FR"/>
        </w:rPr>
        <w:t xml:space="preserve">accusé de son pourvoi (paragraphe </w:t>
      </w:r>
      <w:r w:rsidR="007501D0">
        <w:rPr>
          <w:noProof/>
          <w:lang w:val="fr-FR"/>
        </w:rPr>
        <w:t>23</w:t>
      </w:r>
      <w:r w:rsidRPr="008F309E">
        <w:rPr>
          <w:lang w:val="fr-FR"/>
        </w:rPr>
        <w:t xml:space="preserve"> ci-dessus). Dès lors, il ne pouvait pas se prévaloir de l</w:t>
      </w:r>
      <w:r w:rsidR="00162789">
        <w:rPr>
          <w:lang w:val="fr-FR"/>
        </w:rPr>
        <w:t>’</w:t>
      </w:r>
      <w:r w:rsidRPr="008F309E">
        <w:rPr>
          <w:lang w:val="fr-FR"/>
        </w:rPr>
        <w:t>arrêt n</w:t>
      </w:r>
      <w:r w:rsidR="005559D3" w:rsidRPr="005559D3">
        <w:rPr>
          <w:vertAlign w:val="superscript"/>
          <w:lang w:val="fr-FR"/>
        </w:rPr>
        <w:t>o</w:t>
      </w:r>
      <w:r w:rsidRPr="008F309E">
        <w:rPr>
          <w:lang w:val="fr-FR"/>
        </w:rPr>
        <w:t xml:space="preserve"> 317 de 2009 de la Cour constitutionnelle.</w:t>
      </w:r>
    </w:p>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36</w:t>
      </w:r>
      <w:r w:rsidRPr="008F309E">
        <w:rPr>
          <w:lang w:val="fr-FR"/>
        </w:rPr>
        <w:fldChar w:fldCharType="end"/>
      </w:r>
      <w:r w:rsidRPr="008F309E">
        <w:rPr>
          <w:lang w:val="fr-FR"/>
        </w:rPr>
        <w:t>.  Le requérant se pourvut en cassation.</w:t>
      </w:r>
    </w:p>
    <w:bookmarkStart w:id="21" w:name="sentenzaccass17gennaio2011"/>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37</w:t>
      </w:r>
      <w:r w:rsidRPr="008F309E">
        <w:rPr>
          <w:lang w:val="fr-FR"/>
        </w:rPr>
        <w:fldChar w:fldCharType="end"/>
      </w:r>
      <w:bookmarkEnd w:id="21"/>
      <w:r w:rsidRPr="008F309E">
        <w:rPr>
          <w:lang w:val="fr-FR"/>
        </w:rPr>
        <w:t>.  Par un arrêt du 17 janvier 2011, dont le texte fut déposé au greffe le 21 janvier 2011, la Cour de cassation cassa sans renvoi l</w:t>
      </w:r>
      <w:r w:rsidR="00162789">
        <w:rPr>
          <w:lang w:val="fr-FR"/>
        </w:rPr>
        <w:t>’</w:t>
      </w:r>
      <w:r w:rsidRPr="008F309E">
        <w:rPr>
          <w:lang w:val="fr-FR"/>
        </w:rPr>
        <w:t>ordonnance du 9 mars 2010 et rouvrit le délai pour interjeter appel contre la condamnation prononcée le 9 juin 1997 par la cour d</w:t>
      </w:r>
      <w:r w:rsidR="00162789">
        <w:rPr>
          <w:lang w:val="fr-FR"/>
        </w:rPr>
        <w:t>’</w:t>
      </w:r>
      <w:r w:rsidRPr="008F309E">
        <w:rPr>
          <w:lang w:val="fr-FR"/>
        </w:rPr>
        <w:t>assises de Cosenza (paragraphe</w:t>
      </w:r>
      <w:r w:rsidR="003A0514" w:rsidRPr="008F309E">
        <w:rPr>
          <w:lang w:val="fr-FR"/>
        </w:rPr>
        <w:t> </w:t>
      </w:r>
      <w:r w:rsidR="007501D0">
        <w:rPr>
          <w:noProof/>
          <w:lang w:val="fr-FR"/>
        </w:rPr>
        <w:t>15</w:t>
      </w:r>
      <w:r w:rsidRPr="008F309E">
        <w:rPr>
          <w:lang w:val="fr-FR"/>
        </w:rPr>
        <w:t xml:space="preserve"> </w:t>
      </w:r>
      <w:r w:rsidRPr="008F309E">
        <w:rPr>
          <w:lang w:val="fr-FR"/>
        </w:rPr>
        <w:lastRenderedPageBreak/>
        <w:t xml:space="preserve">ci-dessus). La Cour de cassation </w:t>
      </w:r>
      <w:r w:rsidR="008270DE" w:rsidRPr="008F309E">
        <w:rPr>
          <w:lang w:val="fr-FR"/>
        </w:rPr>
        <w:t xml:space="preserve">mis fin aux </w:t>
      </w:r>
      <w:r w:rsidRPr="008F309E">
        <w:rPr>
          <w:lang w:val="fr-FR"/>
        </w:rPr>
        <w:t>effets de la condamnation définitive du requérant, révoqua l</w:t>
      </w:r>
      <w:r w:rsidR="00162789">
        <w:rPr>
          <w:lang w:val="fr-FR"/>
        </w:rPr>
        <w:t>’</w:t>
      </w:r>
      <w:r w:rsidRPr="008F309E">
        <w:rPr>
          <w:lang w:val="fr-FR"/>
        </w:rPr>
        <w:t>ordre d</w:t>
      </w:r>
      <w:r w:rsidR="00162789">
        <w:rPr>
          <w:lang w:val="fr-FR"/>
        </w:rPr>
        <w:t>’</w:t>
      </w:r>
      <w:r w:rsidRPr="008F309E">
        <w:rPr>
          <w:lang w:val="fr-FR"/>
        </w:rPr>
        <w:t>exécution de cette condamnation et ordonna la libération sur-le-champ du requérant, si aucun autre titre ne justifiait sa privation de liberté (</w:t>
      </w:r>
      <w:r w:rsidRPr="008F309E">
        <w:rPr>
          <w:i/>
          <w:lang w:val="fr-FR"/>
        </w:rPr>
        <w:t>se non detenuto per altro titolo esecutivo od in forza di misura cautelare</w:t>
      </w:r>
      <w:r w:rsidRPr="008F309E">
        <w:rPr>
          <w:lang w:val="fr-FR"/>
        </w:rPr>
        <w:t xml:space="preserve">). Elle ordonna enfin la </w:t>
      </w:r>
      <w:r w:rsidR="00C16925" w:rsidRPr="008F309E">
        <w:rPr>
          <w:lang w:val="fr-FR"/>
        </w:rPr>
        <w:t>transmission</w:t>
      </w:r>
      <w:r w:rsidRPr="008F309E">
        <w:rPr>
          <w:lang w:val="fr-FR"/>
        </w:rPr>
        <w:t xml:space="preserve"> du dossier à la cour d</w:t>
      </w:r>
      <w:r w:rsidR="00162789">
        <w:rPr>
          <w:lang w:val="fr-FR"/>
        </w:rPr>
        <w:t>’</w:t>
      </w:r>
      <w:r w:rsidRPr="008F309E">
        <w:rPr>
          <w:lang w:val="fr-FR"/>
        </w:rPr>
        <w:t>assises de Cosenza.</w:t>
      </w:r>
    </w:p>
    <w:bookmarkStart w:id="22" w:name="sentenzaccass17gennaio2011bis"/>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38</w:t>
      </w:r>
      <w:r w:rsidRPr="008F309E">
        <w:rPr>
          <w:lang w:val="fr-FR"/>
        </w:rPr>
        <w:fldChar w:fldCharType="end"/>
      </w:r>
      <w:bookmarkEnd w:id="22"/>
      <w:r w:rsidRPr="008F309E">
        <w:rPr>
          <w:lang w:val="fr-FR"/>
        </w:rPr>
        <w:t>.  La Cour de cassation observa que le requérant avait été à tort déclaré contumax, alors qu</w:t>
      </w:r>
      <w:r w:rsidR="00162789">
        <w:rPr>
          <w:lang w:val="fr-FR"/>
        </w:rPr>
        <w:t>’</w:t>
      </w:r>
      <w:r w:rsidRPr="008F309E">
        <w:rPr>
          <w:lang w:val="fr-FR"/>
        </w:rPr>
        <w:t>il était détenu au Brésil. Il se trouvait par ailleurs dans la situation qui avait fait l</w:t>
      </w:r>
      <w:r w:rsidR="00162789">
        <w:rPr>
          <w:lang w:val="fr-FR"/>
        </w:rPr>
        <w:t>’</w:t>
      </w:r>
      <w:r w:rsidRPr="008F309E">
        <w:rPr>
          <w:lang w:val="fr-FR"/>
        </w:rPr>
        <w:t>objet de l</w:t>
      </w:r>
      <w:r w:rsidR="00162789">
        <w:rPr>
          <w:lang w:val="fr-FR"/>
        </w:rPr>
        <w:t>’</w:t>
      </w:r>
      <w:r w:rsidRPr="008F309E">
        <w:rPr>
          <w:lang w:val="fr-FR"/>
        </w:rPr>
        <w:t xml:space="preserve">arrêt </w:t>
      </w:r>
      <w:r w:rsidR="008270DE" w:rsidRPr="008F309E">
        <w:rPr>
          <w:lang w:val="fr-FR"/>
        </w:rPr>
        <w:t>de la Cour constitutionnelle n</w:t>
      </w:r>
      <w:r w:rsidR="005559D3" w:rsidRPr="005559D3">
        <w:rPr>
          <w:vertAlign w:val="superscript"/>
          <w:lang w:val="fr-FR"/>
        </w:rPr>
        <w:t>o</w:t>
      </w:r>
      <w:r w:rsidR="008270DE" w:rsidRPr="008F309E">
        <w:rPr>
          <w:lang w:val="fr-FR"/>
        </w:rPr>
        <w:t> </w:t>
      </w:r>
      <w:r w:rsidRPr="008F309E">
        <w:rPr>
          <w:lang w:val="fr-FR"/>
        </w:rPr>
        <w:t>317 de 2009. Les décisions de la Cour constitutionnelle déclarant l</w:t>
      </w:r>
      <w:r w:rsidR="00162789">
        <w:rPr>
          <w:lang w:val="fr-FR"/>
        </w:rPr>
        <w:t>’</w:t>
      </w:r>
      <w:r w:rsidRPr="008F309E">
        <w:rPr>
          <w:lang w:val="fr-FR"/>
        </w:rPr>
        <w:t>inconstitutionnalité d</w:t>
      </w:r>
      <w:r w:rsidR="00162789">
        <w:rPr>
          <w:lang w:val="fr-FR"/>
        </w:rPr>
        <w:t>’</w:t>
      </w:r>
      <w:r w:rsidRPr="008F309E">
        <w:rPr>
          <w:lang w:val="fr-FR"/>
        </w:rPr>
        <w:t xml:space="preserve">une loi avaient effet </w:t>
      </w:r>
      <w:r w:rsidRPr="008F309E">
        <w:rPr>
          <w:i/>
          <w:lang w:val="fr-FR"/>
        </w:rPr>
        <w:t xml:space="preserve">erga omnes </w:t>
      </w:r>
      <w:r w:rsidRPr="008F309E">
        <w:rPr>
          <w:lang w:val="fr-FR"/>
        </w:rPr>
        <w:t xml:space="preserve">et </w:t>
      </w:r>
      <w:r w:rsidR="008A2AB0" w:rsidRPr="008F309E">
        <w:rPr>
          <w:lang w:val="fr-FR"/>
        </w:rPr>
        <w:t>s</w:t>
      </w:r>
      <w:r w:rsidR="00162789">
        <w:rPr>
          <w:lang w:val="fr-FR"/>
        </w:rPr>
        <w:t>’</w:t>
      </w:r>
      <w:r w:rsidR="008A2AB0" w:rsidRPr="008F309E">
        <w:rPr>
          <w:lang w:val="fr-FR"/>
        </w:rPr>
        <w:t xml:space="preserve">appliquaient </w:t>
      </w:r>
      <w:r w:rsidR="000401D3" w:rsidRPr="008F309E">
        <w:rPr>
          <w:lang w:val="fr-FR"/>
        </w:rPr>
        <w:t xml:space="preserve">aussi </w:t>
      </w:r>
      <w:r w:rsidRPr="008F309E">
        <w:rPr>
          <w:lang w:val="fr-FR"/>
        </w:rPr>
        <w:t>à des situations s</w:t>
      </w:r>
      <w:r w:rsidR="00162789">
        <w:rPr>
          <w:lang w:val="fr-FR"/>
        </w:rPr>
        <w:t>’</w:t>
      </w:r>
      <w:r w:rsidRPr="008F309E">
        <w:rPr>
          <w:lang w:val="fr-FR"/>
        </w:rPr>
        <w:t xml:space="preserve">étant vérifiées dans le passé, car le juge ne pouvait plus appliquer la loi non conforme à la Constitution. </w:t>
      </w:r>
      <w:r w:rsidR="000401D3" w:rsidRPr="008F309E">
        <w:rPr>
          <w:lang w:val="fr-FR"/>
        </w:rPr>
        <w:t>L</w:t>
      </w:r>
      <w:r w:rsidRPr="008F309E">
        <w:rPr>
          <w:lang w:val="fr-FR"/>
        </w:rPr>
        <w:t>a situation dont le requérant se plaignait n</w:t>
      </w:r>
      <w:r w:rsidR="00162789">
        <w:rPr>
          <w:lang w:val="fr-FR"/>
        </w:rPr>
        <w:t>’</w:t>
      </w:r>
      <w:r w:rsidRPr="008F309E">
        <w:rPr>
          <w:lang w:val="fr-FR"/>
        </w:rPr>
        <w:t>était pas « close » (</w:t>
      </w:r>
      <w:r w:rsidRPr="008F309E">
        <w:rPr>
          <w:i/>
          <w:lang w:val="fr-FR"/>
        </w:rPr>
        <w:t>esaurita</w:t>
      </w:r>
      <w:r w:rsidRPr="008F309E">
        <w:rPr>
          <w:lang w:val="fr-FR"/>
        </w:rPr>
        <w:t>), car l</w:t>
      </w:r>
      <w:r w:rsidR="00162789">
        <w:rPr>
          <w:lang w:val="fr-FR"/>
        </w:rPr>
        <w:t>’</w:t>
      </w:r>
      <w:r w:rsidRPr="008F309E">
        <w:rPr>
          <w:lang w:val="fr-FR"/>
        </w:rPr>
        <w:t>article 175 du CPP visait précisément à invalider le jugement définitif afin de permettre à l</w:t>
      </w:r>
      <w:r w:rsidR="00162789">
        <w:rPr>
          <w:lang w:val="fr-FR"/>
        </w:rPr>
        <w:t>’</w:t>
      </w:r>
      <w:r w:rsidRPr="008F309E">
        <w:rPr>
          <w:lang w:val="fr-FR"/>
        </w:rPr>
        <w:t>accusé qui n</w:t>
      </w:r>
      <w:r w:rsidR="00162789">
        <w:rPr>
          <w:lang w:val="fr-FR"/>
        </w:rPr>
        <w:t>’</w:t>
      </w:r>
      <w:r w:rsidRPr="008F309E">
        <w:rPr>
          <w:lang w:val="fr-FR"/>
        </w:rPr>
        <w:t>avait pas renoncé à comparaître d</w:t>
      </w:r>
      <w:r w:rsidR="00162789">
        <w:rPr>
          <w:lang w:val="fr-FR"/>
        </w:rPr>
        <w:t>’</w:t>
      </w:r>
      <w:r w:rsidRPr="008F309E">
        <w:rPr>
          <w:lang w:val="fr-FR"/>
        </w:rPr>
        <w:t>exercer son droit d</w:t>
      </w:r>
      <w:r w:rsidR="00162789">
        <w:rPr>
          <w:lang w:val="fr-FR"/>
        </w:rPr>
        <w:t>’</w:t>
      </w:r>
      <w:r w:rsidRPr="008F309E">
        <w:rPr>
          <w:lang w:val="fr-FR"/>
        </w:rPr>
        <w:t>interjeter appel.</w:t>
      </w:r>
    </w:p>
    <w:bookmarkStart w:id="23" w:name="custodiacautelaredoporimessioneneltermin"/>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39</w:t>
      </w:r>
      <w:r w:rsidRPr="008F309E">
        <w:rPr>
          <w:lang w:val="fr-FR"/>
        </w:rPr>
        <w:fldChar w:fldCharType="end"/>
      </w:r>
      <w:bookmarkEnd w:id="23"/>
      <w:r w:rsidRPr="008F309E">
        <w:rPr>
          <w:lang w:val="fr-FR"/>
        </w:rPr>
        <w:t>.  Le 20 janvier 2011, le requérant fut placé</w:t>
      </w:r>
      <w:r w:rsidR="008E3D49" w:rsidRPr="008F309E">
        <w:rPr>
          <w:lang w:val="fr-FR"/>
        </w:rPr>
        <w:t xml:space="preserve"> en détention provisoire. Le 29 </w:t>
      </w:r>
      <w:r w:rsidRPr="008F309E">
        <w:rPr>
          <w:lang w:val="fr-FR"/>
        </w:rPr>
        <w:t>avril 2011, le tribunal de Catanzaro, agissant en tant que juge chargé de réexaminer les mesures de précaution, révoqua la détention provisoire du requérant pour expiration des délais maxima de celle-ci.</w:t>
      </w:r>
    </w:p>
    <w:bookmarkStart w:id="24" w:name="appelrequ"/>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40</w:t>
      </w:r>
      <w:r w:rsidRPr="008F309E">
        <w:rPr>
          <w:lang w:val="fr-FR"/>
        </w:rPr>
        <w:fldChar w:fldCharType="end"/>
      </w:r>
      <w:bookmarkEnd w:id="24"/>
      <w:r w:rsidRPr="008F309E">
        <w:rPr>
          <w:lang w:val="fr-FR"/>
        </w:rPr>
        <w:t>.  Entre-temps, le requérant avait interjeté appel contre la condamnation prononcée le 9 juin 1997 par la cour d</w:t>
      </w:r>
      <w:r w:rsidR="00162789">
        <w:rPr>
          <w:lang w:val="fr-FR"/>
        </w:rPr>
        <w:t>’</w:t>
      </w:r>
      <w:r w:rsidRPr="008F309E">
        <w:rPr>
          <w:lang w:val="fr-FR"/>
        </w:rPr>
        <w:t xml:space="preserve">assises de Cosenza (paragraphe </w:t>
      </w:r>
      <w:r w:rsidR="007501D0">
        <w:rPr>
          <w:noProof/>
          <w:lang w:val="fr-FR"/>
        </w:rPr>
        <w:t>15</w:t>
      </w:r>
      <w:r w:rsidRPr="008F309E">
        <w:rPr>
          <w:lang w:val="fr-FR"/>
        </w:rPr>
        <w:t xml:space="preserve"> ci-dessus).</w:t>
      </w:r>
    </w:p>
    <w:bookmarkStart w:id="25" w:name="corteassiseappellocatanzaroannullacondan"/>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41</w:t>
      </w:r>
      <w:r w:rsidRPr="008F309E">
        <w:rPr>
          <w:lang w:val="fr-FR"/>
        </w:rPr>
        <w:fldChar w:fldCharType="end"/>
      </w:r>
      <w:bookmarkEnd w:id="25"/>
      <w:r w:rsidRPr="008F309E">
        <w:rPr>
          <w:lang w:val="fr-FR"/>
        </w:rPr>
        <w:t>.  Par un arrêt du 14 juin 2012, dont le texte fut déposé au greffe le 20 juillet 2012, la cour d</w:t>
      </w:r>
      <w:r w:rsidR="00162789">
        <w:rPr>
          <w:lang w:val="fr-FR"/>
        </w:rPr>
        <w:t>’</w:t>
      </w:r>
      <w:r w:rsidRPr="008F309E">
        <w:rPr>
          <w:lang w:val="fr-FR"/>
        </w:rPr>
        <w:t>assises d</w:t>
      </w:r>
      <w:r w:rsidR="00162789">
        <w:rPr>
          <w:lang w:val="fr-FR"/>
        </w:rPr>
        <w:t>’</w:t>
      </w:r>
      <w:r w:rsidRPr="008F309E">
        <w:rPr>
          <w:lang w:val="fr-FR"/>
        </w:rPr>
        <w:t>appel de Catanzaro annula la condamnation litigieuse.</w:t>
      </w:r>
    </w:p>
    <w:bookmarkStart w:id="26" w:name="corteassiseappellocatanzaroannullabis"/>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42</w:t>
      </w:r>
      <w:r w:rsidRPr="008F309E">
        <w:rPr>
          <w:lang w:val="fr-FR"/>
        </w:rPr>
        <w:fldChar w:fldCharType="end"/>
      </w:r>
      <w:bookmarkEnd w:id="26"/>
      <w:r w:rsidRPr="008F309E">
        <w:rPr>
          <w:lang w:val="fr-FR"/>
        </w:rPr>
        <w:t>.  Elle observa qu</w:t>
      </w:r>
      <w:r w:rsidR="00162789">
        <w:rPr>
          <w:lang w:val="fr-FR"/>
        </w:rPr>
        <w:t>’</w:t>
      </w:r>
      <w:r w:rsidRPr="008F309E">
        <w:rPr>
          <w:lang w:val="fr-FR"/>
        </w:rPr>
        <w:t>à l</w:t>
      </w:r>
      <w:r w:rsidR="00162789">
        <w:rPr>
          <w:lang w:val="fr-FR"/>
        </w:rPr>
        <w:t>’</w:t>
      </w:r>
      <w:r w:rsidRPr="008F309E">
        <w:rPr>
          <w:lang w:val="fr-FR"/>
        </w:rPr>
        <w:t xml:space="preserve">époque des débats de première instance, le requérant était détenu </w:t>
      </w:r>
      <w:r w:rsidR="000401D3" w:rsidRPr="008F309E">
        <w:rPr>
          <w:lang w:val="fr-FR"/>
        </w:rPr>
        <w:t>sous écrou extraditionnel</w:t>
      </w:r>
      <w:r w:rsidRPr="008F309E">
        <w:rPr>
          <w:lang w:val="fr-FR"/>
        </w:rPr>
        <w:t xml:space="preserve"> au Brésil, et que l</w:t>
      </w:r>
      <w:r w:rsidR="00162789">
        <w:rPr>
          <w:lang w:val="fr-FR"/>
        </w:rPr>
        <w:t>’</w:t>
      </w:r>
      <w:r w:rsidRPr="008F309E">
        <w:rPr>
          <w:lang w:val="fr-FR"/>
        </w:rPr>
        <w:t>avocat de l</w:t>
      </w:r>
      <w:r w:rsidR="00162789">
        <w:rPr>
          <w:lang w:val="fr-FR"/>
        </w:rPr>
        <w:t>’</w:t>
      </w:r>
      <w:r w:rsidRPr="008F309E">
        <w:rPr>
          <w:lang w:val="fr-FR"/>
        </w:rPr>
        <w:t>intéressé avait informé la cour d</w:t>
      </w:r>
      <w:r w:rsidR="00162789">
        <w:rPr>
          <w:lang w:val="fr-FR"/>
        </w:rPr>
        <w:t>’</w:t>
      </w:r>
      <w:r w:rsidRPr="008F309E">
        <w:rPr>
          <w:lang w:val="fr-FR"/>
        </w:rPr>
        <w:t>assises de Cosenza de cette circonstance. Or, tel qu</w:t>
      </w:r>
      <w:r w:rsidR="00162789">
        <w:rPr>
          <w:lang w:val="fr-FR"/>
        </w:rPr>
        <w:t>’</w:t>
      </w:r>
      <w:r w:rsidRPr="008F309E">
        <w:rPr>
          <w:lang w:val="fr-FR"/>
        </w:rPr>
        <w:t>en vigueur à l</w:t>
      </w:r>
      <w:r w:rsidR="00162789">
        <w:rPr>
          <w:lang w:val="fr-FR"/>
        </w:rPr>
        <w:t>’</w:t>
      </w:r>
      <w:r w:rsidRPr="008F309E">
        <w:rPr>
          <w:lang w:val="fr-FR"/>
        </w:rPr>
        <w:t>époque des faits, le CPP prévoyait que lorsque l</w:t>
      </w:r>
      <w:r w:rsidR="00162789">
        <w:rPr>
          <w:lang w:val="fr-FR"/>
        </w:rPr>
        <w:t>’</w:t>
      </w:r>
      <w:r w:rsidRPr="008F309E">
        <w:rPr>
          <w:lang w:val="fr-FR"/>
        </w:rPr>
        <w:t>accusé prouvait qu</w:t>
      </w:r>
      <w:r w:rsidR="00162789">
        <w:rPr>
          <w:lang w:val="fr-FR"/>
        </w:rPr>
        <w:t>’</w:t>
      </w:r>
      <w:r w:rsidRPr="008F309E">
        <w:rPr>
          <w:lang w:val="fr-FR"/>
        </w:rPr>
        <w:t>il était légitimement empêché de participer aux débats, l</w:t>
      </w:r>
      <w:r w:rsidR="00162789">
        <w:rPr>
          <w:lang w:val="fr-FR"/>
        </w:rPr>
        <w:t>’</w:t>
      </w:r>
      <w:r w:rsidRPr="008F309E">
        <w:rPr>
          <w:lang w:val="fr-FR"/>
        </w:rPr>
        <w:t xml:space="preserve">ordonnance </w:t>
      </w:r>
      <w:r w:rsidR="000401D3" w:rsidRPr="008F309E">
        <w:rPr>
          <w:lang w:val="fr-FR"/>
        </w:rPr>
        <w:t xml:space="preserve">le </w:t>
      </w:r>
      <w:r w:rsidRPr="008F309E">
        <w:rPr>
          <w:lang w:val="fr-FR"/>
        </w:rPr>
        <w:t>déclarant contumax devait être révoquée et le procès devait être ajourné. Le non-respect de ces dispositions était constitutif d</w:t>
      </w:r>
      <w:r w:rsidR="00162789">
        <w:rPr>
          <w:lang w:val="fr-FR"/>
        </w:rPr>
        <w:t>’</w:t>
      </w:r>
      <w:r w:rsidRPr="008F309E">
        <w:rPr>
          <w:lang w:val="fr-FR"/>
        </w:rPr>
        <w:t>une nullité absolue du procès. Par ailleurs, par un arrêt n</w:t>
      </w:r>
      <w:r w:rsidR="005559D3" w:rsidRPr="005559D3">
        <w:rPr>
          <w:vertAlign w:val="superscript"/>
          <w:lang w:val="fr-FR"/>
        </w:rPr>
        <w:t>o</w:t>
      </w:r>
      <w:r w:rsidRPr="008F309E">
        <w:rPr>
          <w:lang w:val="fr-FR"/>
        </w:rPr>
        <w:t xml:space="preserve"> 21035 du 13</w:t>
      </w:r>
      <w:r w:rsidR="00652FF8">
        <w:rPr>
          <w:lang w:val="fr-FR"/>
        </w:rPr>
        <w:t xml:space="preserve"> </w:t>
      </w:r>
      <w:r w:rsidRPr="008F309E">
        <w:rPr>
          <w:lang w:val="fr-FR"/>
        </w:rPr>
        <w:t xml:space="preserve">mai 2003, la Cour de cassation, siégeant </w:t>
      </w:r>
      <w:r w:rsidR="00FD1384" w:rsidRPr="008F309E">
        <w:rPr>
          <w:lang w:val="fr-FR"/>
        </w:rPr>
        <w:t>en</w:t>
      </w:r>
      <w:r w:rsidRPr="008F309E">
        <w:rPr>
          <w:lang w:val="fr-FR"/>
        </w:rPr>
        <w:t xml:space="preserve"> sections réunies, avait précisé que la détention à l</w:t>
      </w:r>
      <w:r w:rsidR="00162789">
        <w:rPr>
          <w:lang w:val="fr-FR"/>
        </w:rPr>
        <w:t>’</w:t>
      </w:r>
      <w:r w:rsidRPr="008F309E">
        <w:rPr>
          <w:lang w:val="fr-FR"/>
        </w:rPr>
        <w:t>étranger s</w:t>
      </w:r>
      <w:r w:rsidR="00162789">
        <w:rPr>
          <w:lang w:val="fr-FR"/>
        </w:rPr>
        <w:t>’</w:t>
      </w:r>
      <w:r w:rsidRPr="008F309E">
        <w:rPr>
          <w:lang w:val="fr-FR"/>
        </w:rPr>
        <w:t>analysait en un empêchement légitime, et ce même lorsque l</w:t>
      </w:r>
      <w:r w:rsidR="00162789">
        <w:rPr>
          <w:lang w:val="fr-FR"/>
        </w:rPr>
        <w:t>’</w:t>
      </w:r>
      <w:r w:rsidRPr="008F309E">
        <w:rPr>
          <w:lang w:val="fr-FR"/>
        </w:rPr>
        <w:t>accusé, faisant usage d</w:t>
      </w:r>
      <w:r w:rsidR="00162789">
        <w:rPr>
          <w:lang w:val="fr-FR"/>
        </w:rPr>
        <w:t>’</w:t>
      </w:r>
      <w:r w:rsidRPr="008F309E">
        <w:rPr>
          <w:lang w:val="fr-FR"/>
        </w:rPr>
        <w:t>une faculté dont il était titulaire, s</w:t>
      </w:r>
      <w:r w:rsidR="00162789">
        <w:rPr>
          <w:lang w:val="fr-FR"/>
        </w:rPr>
        <w:t>’</w:t>
      </w:r>
      <w:r w:rsidRPr="008F309E">
        <w:rPr>
          <w:lang w:val="fr-FR"/>
        </w:rPr>
        <w:t>opposait à l</w:t>
      </w:r>
      <w:r w:rsidR="00162789">
        <w:rPr>
          <w:lang w:val="fr-FR"/>
        </w:rPr>
        <w:t>’</w:t>
      </w:r>
      <w:r w:rsidRPr="008F309E">
        <w:rPr>
          <w:lang w:val="fr-FR"/>
        </w:rPr>
        <w:t>extradition.</w:t>
      </w:r>
    </w:p>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43</w:t>
      </w:r>
      <w:r w:rsidRPr="008F309E">
        <w:rPr>
          <w:lang w:val="fr-FR"/>
        </w:rPr>
        <w:fldChar w:fldCharType="end"/>
      </w:r>
      <w:r w:rsidRPr="008F309E">
        <w:rPr>
          <w:lang w:val="fr-FR"/>
        </w:rPr>
        <w:t>.  Par ailleurs, la cour d</w:t>
      </w:r>
      <w:r w:rsidR="00162789">
        <w:rPr>
          <w:lang w:val="fr-FR"/>
        </w:rPr>
        <w:t>’</w:t>
      </w:r>
      <w:r w:rsidRPr="008F309E">
        <w:rPr>
          <w:lang w:val="fr-FR"/>
        </w:rPr>
        <w:t>assises de Cosenza savait que le requérant s</w:t>
      </w:r>
      <w:r w:rsidR="00162789">
        <w:rPr>
          <w:lang w:val="fr-FR"/>
        </w:rPr>
        <w:t>’</w:t>
      </w:r>
      <w:r w:rsidRPr="008F309E">
        <w:rPr>
          <w:lang w:val="fr-FR"/>
        </w:rPr>
        <w:t>était soustrait à l</w:t>
      </w:r>
      <w:r w:rsidR="00162789">
        <w:rPr>
          <w:lang w:val="fr-FR"/>
        </w:rPr>
        <w:t>’</w:t>
      </w:r>
      <w:r w:rsidRPr="008F309E">
        <w:rPr>
          <w:lang w:val="fr-FR"/>
        </w:rPr>
        <w:t>exécution d</w:t>
      </w:r>
      <w:r w:rsidR="00162789">
        <w:rPr>
          <w:lang w:val="fr-FR"/>
        </w:rPr>
        <w:t>’</w:t>
      </w:r>
      <w:r w:rsidRPr="008F309E">
        <w:rPr>
          <w:lang w:val="fr-FR"/>
        </w:rPr>
        <w:t xml:space="preserve">une ordonnance de placement en détention provisoire, car </w:t>
      </w:r>
      <w:r w:rsidR="00E72692" w:rsidRPr="008F309E">
        <w:rPr>
          <w:lang w:val="fr-FR"/>
        </w:rPr>
        <w:t xml:space="preserve">elle </w:t>
      </w:r>
      <w:r w:rsidRPr="008F309E">
        <w:rPr>
          <w:lang w:val="fr-FR"/>
        </w:rPr>
        <w:t>l</w:t>
      </w:r>
      <w:r w:rsidR="00162789">
        <w:rPr>
          <w:lang w:val="fr-FR"/>
        </w:rPr>
        <w:t>’</w:t>
      </w:r>
      <w:r w:rsidRPr="008F309E">
        <w:rPr>
          <w:lang w:val="fr-FR"/>
        </w:rPr>
        <w:t>avait déclaré « en fuite » (</w:t>
      </w:r>
      <w:r w:rsidRPr="008F309E">
        <w:rPr>
          <w:i/>
          <w:lang w:val="fr-FR"/>
        </w:rPr>
        <w:t>latitante</w:t>
      </w:r>
      <w:r w:rsidRPr="008F309E">
        <w:rPr>
          <w:lang w:val="fr-FR"/>
        </w:rPr>
        <w:t>). Dès lors, face aux allégations de l</w:t>
      </w:r>
      <w:r w:rsidR="00162789">
        <w:rPr>
          <w:lang w:val="fr-FR"/>
        </w:rPr>
        <w:t>’</w:t>
      </w:r>
      <w:r w:rsidRPr="008F309E">
        <w:rPr>
          <w:lang w:val="fr-FR"/>
        </w:rPr>
        <w:t xml:space="preserve">avocat du requérant, selon lesquelles son client était détenu au Brésil (paragraphes </w:t>
      </w:r>
      <w:r w:rsidR="007501D0">
        <w:rPr>
          <w:noProof/>
          <w:lang w:val="fr-FR"/>
        </w:rPr>
        <w:t>12</w:t>
      </w:r>
      <w:r w:rsidRPr="008F309E">
        <w:rPr>
          <w:lang w:val="fr-FR"/>
        </w:rPr>
        <w:t xml:space="preserve"> et </w:t>
      </w:r>
      <w:r w:rsidR="007501D0">
        <w:rPr>
          <w:rFonts w:cstheme="minorHAnsi"/>
          <w:noProof/>
          <w:lang w:val="fr-FR"/>
        </w:rPr>
        <w:t>13</w:t>
      </w:r>
      <w:r w:rsidRPr="008F309E">
        <w:rPr>
          <w:lang w:val="fr-FR"/>
        </w:rPr>
        <w:t xml:space="preserve"> ci-dessus), la cour d</w:t>
      </w:r>
      <w:r w:rsidR="00162789">
        <w:rPr>
          <w:lang w:val="fr-FR"/>
        </w:rPr>
        <w:t>’</w:t>
      </w:r>
      <w:r w:rsidRPr="008F309E">
        <w:rPr>
          <w:lang w:val="fr-FR"/>
        </w:rPr>
        <w:t xml:space="preserve">assises aurait dû </w:t>
      </w:r>
      <w:r w:rsidRPr="008F309E">
        <w:rPr>
          <w:lang w:val="fr-FR"/>
        </w:rPr>
        <w:lastRenderedPageBreak/>
        <w:t>effectuer les vérifications nécessaires et révoquer, le cas échéant, la déclaration de fuite. Les vérifications en question étaient par ailleurs relativement simples, étant donné que la police italienne et le parquet général près de la cour d</w:t>
      </w:r>
      <w:r w:rsidR="00162789">
        <w:rPr>
          <w:lang w:val="fr-FR"/>
        </w:rPr>
        <w:t>’</w:t>
      </w:r>
      <w:r w:rsidRPr="008F309E">
        <w:rPr>
          <w:lang w:val="fr-FR"/>
        </w:rPr>
        <w:t>appel de Catanzaro avaient été informés de l</w:t>
      </w:r>
      <w:r w:rsidR="00162789">
        <w:rPr>
          <w:lang w:val="fr-FR"/>
        </w:rPr>
        <w:t>’</w:t>
      </w:r>
      <w:r w:rsidRPr="008F309E">
        <w:rPr>
          <w:lang w:val="fr-FR"/>
        </w:rPr>
        <w:t xml:space="preserve">arrestation du requérant au Brésil (paragraphe </w:t>
      </w:r>
      <w:r w:rsidR="007501D0">
        <w:rPr>
          <w:noProof/>
          <w:lang w:val="fr-FR"/>
        </w:rPr>
        <w:t>14</w:t>
      </w:r>
      <w:r w:rsidRPr="008F309E">
        <w:rPr>
          <w:lang w:val="fr-FR"/>
        </w:rPr>
        <w:t xml:space="preserve"> ci-dessus).</w:t>
      </w:r>
    </w:p>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44</w:t>
      </w:r>
      <w:r w:rsidRPr="008F309E">
        <w:rPr>
          <w:lang w:val="fr-FR"/>
        </w:rPr>
        <w:fldChar w:fldCharType="end"/>
      </w:r>
      <w:r w:rsidRPr="008F309E">
        <w:rPr>
          <w:lang w:val="fr-FR"/>
        </w:rPr>
        <w:t>.  Le parquet se pourvut en cassation.</w:t>
      </w:r>
    </w:p>
    <w:p w:rsidR="008D33F2" w:rsidRPr="008F309E"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45</w:t>
      </w:r>
      <w:r w:rsidRPr="008F309E">
        <w:rPr>
          <w:lang w:val="fr-FR"/>
        </w:rPr>
        <w:fldChar w:fldCharType="end"/>
      </w:r>
      <w:r w:rsidRPr="008F309E">
        <w:rPr>
          <w:lang w:val="fr-FR"/>
        </w:rPr>
        <w:t>.  Par un arrêt du 13 juin 2013, la Cour de cassation débouta le parquet de son pourvoi.</w:t>
      </w:r>
    </w:p>
    <w:bookmarkStart w:id="27" w:name="nuovoprocesso"/>
    <w:p w:rsidR="005559D3" w:rsidRDefault="008D33F2" w:rsidP="0016779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46</w:t>
      </w:r>
      <w:r w:rsidRPr="008F309E">
        <w:rPr>
          <w:lang w:val="fr-FR"/>
        </w:rPr>
        <w:fldChar w:fldCharType="end"/>
      </w:r>
      <w:bookmarkEnd w:id="27"/>
      <w:r w:rsidRPr="008F309E">
        <w:rPr>
          <w:lang w:val="fr-FR"/>
        </w:rPr>
        <w:t>.  </w:t>
      </w:r>
      <w:r w:rsidR="00E72692" w:rsidRPr="008F309E">
        <w:rPr>
          <w:rFonts w:cstheme="minorHAnsi"/>
          <w:lang w:val="fr-FR"/>
        </w:rPr>
        <w:t>À</w:t>
      </w:r>
      <w:r w:rsidR="00E72692" w:rsidRPr="008F309E">
        <w:rPr>
          <w:lang w:val="fr-FR"/>
        </w:rPr>
        <w:t xml:space="preserve"> la suite</w:t>
      </w:r>
      <w:r w:rsidRPr="008F309E">
        <w:rPr>
          <w:lang w:val="fr-FR"/>
        </w:rPr>
        <w:t xml:space="preserve"> de ces décisions, le procès de première instance contre le requérant fut rouvert</w:t>
      </w:r>
      <w:r w:rsidR="003C449E" w:rsidRPr="008F309E">
        <w:rPr>
          <w:lang w:val="fr-FR"/>
        </w:rPr>
        <w:t xml:space="preserve"> et</w:t>
      </w:r>
      <w:r w:rsidRPr="008F309E">
        <w:rPr>
          <w:lang w:val="fr-FR"/>
        </w:rPr>
        <w:t xml:space="preserve"> </w:t>
      </w:r>
      <w:r w:rsidR="003C449E" w:rsidRPr="008F309E">
        <w:rPr>
          <w:lang w:val="fr-FR"/>
        </w:rPr>
        <w:t>l</w:t>
      </w:r>
      <w:r w:rsidR="00162789">
        <w:rPr>
          <w:lang w:val="fr-FR"/>
        </w:rPr>
        <w:t>’</w:t>
      </w:r>
      <w:r w:rsidRPr="008F309E">
        <w:rPr>
          <w:lang w:val="fr-FR"/>
        </w:rPr>
        <w:t xml:space="preserve">intéressé </w:t>
      </w:r>
      <w:r w:rsidR="009A5679" w:rsidRPr="008F309E">
        <w:rPr>
          <w:lang w:val="fr-FR"/>
        </w:rPr>
        <w:t>eut</w:t>
      </w:r>
      <w:r w:rsidRPr="008F309E">
        <w:rPr>
          <w:lang w:val="fr-FR"/>
        </w:rPr>
        <w:t xml:space="preserve"> la faculté d</w:t>
      </w:r>
      <w:r w:rsidR="00162789">
        <w:rPr>
          <w:lang w:val="fr-FR"/>
        </w:rPr>
        <w:t>’</w:t>
      </w:r>
      <w:r w:rsidRPr="008F309E">
        <w:rPr>
          <w:lang w:val="fr-FR"/>
        </w:rPr>
        <w:t>y participer. Par un arrêt du 16 décembre 2014, la cour d</w:t>
      </w:r>
      <w:r w:rsidR="00162789">
        <w:rPr>
          <w:lang w:val="fr-FR"/>
        </w:rPr>
        <w:t>’</w:t>
      </w:r>
      <w:r w:rsidRPr="008F309E">
        <w:rPr>
          <w:lang w:val="fr-FR"/>
        </w:rPr>
        <w:t>assises de Cosenza prononça un non-lieu au motif que les infractions étaient prescrites.</w:t>
      </w:r>
    </w:p>
    <w:bookmarkStart w:id="28" w:name="nuovoprocessopendenteappello"/>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47</w:t>
      </w:r>
      <w:r w:rsidRPr="008F309E">
        <w:rPr>
          <w:lang w:val="fr-FR"/>
        </w:rPr>
        <w:fldChar w:fldCharType="end"/>
      </w:r>
      <w:bookmarkEnd w:id="28"/>
      <w:r w:rsidRPr="008F309E">
        <w:rPr>
          <w:lang w:val="fr-FR"/>
        </w:rPr>
        <w:t>.  Le 1</w:t>
      </w:r>
      <w:r w:rsidRPr="008F309E">
        <w:rPr>
          <w:vertAlign w:val="superscript"/>
          <w:lang w:val="fr-FR"/>
        </w:rPr>
        <w:t>er</w:t>
      </w:r>
      <w:r w:rsidRPr="008F309E">
        <w:rPr>
          <w:lang w:val="fr-FR"/>
        </w:rPr>
        <w:t xml:space="preserve"> avril 2015, le parquet interjeta appel contre cet arrêt. Il allégua notamment que le requérant n</w:t>
      </w:r>
      <w:r w:rsidR="00162789">
        <w:rPr>
          <w:lang w:val="fr-FR"/>
        </w:rPr>
        <w:t>’</w:t>
      </w:r>
      <w:r w:rsidRPr="008F309E">
        <w:rPr>
          <w:lang w:val="fr-FR"/>
        </w:rPr>
        <w:t>aurait pas dû bénéficier de circonstances atténuantes générales (</w:t>
      </w:r>
      <w:r w:rsidRPr="008F309E">
        <w:rPr>
          <w:i/>
          <w:lang w:val="fr-FR"/>
        </w:rPr>
        <w:t>circonstanze attenuanti generiche</w:t>
      </w:r>
      <w:r w:rsidRPr="008F309E">
        <w:rPr>
          <w:lang w:val="fr-FR"/>
        </w:rPr>
        <w:t>), ce qui avait influé sur le calcul du délai de prescription. À la date des dernières informations (5 mai 2015), la procédure d</w:t>
      </w:r>
      <w:r w:rsidR="00162789">
        <w:rPr>
          <w:lang w:val="fr-FR"/>
        </w:rPr>
        <w:t>’</w:t>
      </w:r>
      <w:r w:rsidRPr="008F309E">
        <w:rPr>
          <w:lang w:val="fr-FR"/>
        </w:rPr>
        <w:t>appel était encore pendante devant la cour d</w:t>
      </w:r>
      <w:r w:rsidR="00162789">
        <w:rPr>
          <w:lang w:val="fr-FR"/>
        </w:rPr>
        <w:t>’</w:t>
      </w:r>
      <w:r w:rsidRPr="008F309E">
        <w:rPr>
          <w:lang w:val="fr-FR"/>
        </w:rPr>
        <w:t>assises d</w:t>
      </w:r>
      <w:r w:rsidR="00162789">
        <w:rPr>
          <w:lang w:val="fr-FR"/>
        </w:rPr>
        <w:t>’</w:t>
      </w:r>
      <w:r w:rsidRPr="008F309E">
        <w:rPr>
          <w:lang w:val="fr-FR"/>
        </w:rPr>
        <w:t>appel de Catanzaro.</w:t>
      </w:r>
    </w:p>
    <w:p w:rsidR="00E77CB3" w:rsidRPr="008F309E" w:rsidRDefault="00E77CB3" w:rsidP="00C63990">
      <w:pPr>
        <w:pStyle w:val="ECHRHeading1"/>
        <w:rPr>
          <w:lang w:val="fr-FR"/>
        </w:rPr>
      </w:pPr>
      <w:r w:rsidRPr="008F309E">
        <w:rPr>
          <w:lang w:val="fr-FR"/>
        </w:rPr>
        <w:t>II.  LE DROIT ET LA PRATIQUE INTERNES PERTINENTS</w:t>
      </w:r>
    </w:p>
    <w:p w:rsidR="008D33F2" w:rsidRPr="008F309E" w:rsidRDefault="008D33F2" w:rsidP="008D33F2">
      <w:pPr>
        <w:pStyle w:val="ECHRHeading2"/>
        <w:rPr>
          <w:lang w:val="fr-FR"/>
        </w:rPr>
      </w:pPr>
      <w:r w:rsidRPr="008F309E">
        <w:rPr>
          <w:lang w:val="fr-FR"/>
        </w:rPr>
        <w:t>A.  La déclaration de fuite et les re</w:t>
      </w:r>
      <w:r w:rsidR="008304A4" w:rsidRPr="008F309E">
        <w:rPr>
          <w:lang w:val="fr-FR"/>
        </w:rPr>
        <w:t>cours</w:t>
      </w:r>
      <w:r w:rsidRPr="008F309E">
        <w:rPr>
          <w:lang w:val="fr-FR"/>
        </w:rPr>
        <w:t xml:space="preserve"> contre une condamnation définitive par contumace</w:t>
      </w:r>
    </w:p>
    <w:p w:rsidR="008D33F2" w:rsidRPr="008F309E" w:rsidRDefault="008D33F2"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48</w:t>
      </w:r>
      <w:r w:rsidRPr="008F309E">
        <w:rPr>
          <w:lang w:val="fr-FR"/>
        </w:rPr>
        <w:fldChar w:fldCharType="end"/>
      </w:r>
      <w:r w:rsidRPr="008F309E">
        <w:rPr>
          <w:lang w:val="fr-FR"/>
        </w:rPr>
        <w:t>.  Aux termes de l</w:t>
      </w:r>
      <w:r w:rsidR="00162789">
        <w:rPr>
          <w:lang w:val="fr-FR"/>
        </w:rPr>
        <w:t>’</w:t>
      </w:r>
      <w:r w:rsidRPr="008F309E">
        <w:rPr>
          <w:lang w:val="fr-FR"/>
        </w:rPr>
        <w:t>article 296 § 1 du CPP, est considéré comme étant « en fuite » (</w:t>
      </w:r>
      <w:r w:rsidRPr="008F309E">
        <w:rPr>
          <w:i/>
          <w:lang w:val="fr-FR"/>
        </w:rPr>
        <w:t>latitante</w:t>
      </w:r>
      <w:r w:rsidRPr="008F309E">
        <w:rPr>
          <w:lang w:val="fr-FR"/>
        </w:rPr>
        <w:t>) quiconque « se soustrait volontairement à la détention provisoire, à la détention domiciliaire, à l</w:t>
      </w:r>
      <w:r w:rsidR="00162789">
        <w:rPr>
          <w:lang w:val="fr-FR"/>
        </w:rPr>
        <w:t>’</w:t>
      </w:r>
      <w:r w:rsidRPr="008F309E">
        <w:rPr>
          <w:lang w:val="fr-FR"/>
        </w:rPr>
        <w:t>interdiction d</w:t>
      </w:r>
      <w:r w:rsidR="00162789">
        <w:rPr>
          <w:lang w:val="fr-FR"/>
        </w:rPr>
        <w:t>’</w:t>
      </w:r>
      <w:r w:rsidRPr="008F309E">
        <w:rPr>
          <w:lang w:val="fr-FR"/>
        </w:rPr>
        <w:t>expatrier, à l</w:t>
      </w:r>
      <w:r w:rsidR="00162789">
        <w:rPr>
          <w:lang w:val="fr-FR"/>
        </w:rPr>
        <w:t>’</w:t>
      </w:r>
      <w:r w:rsidRPr="008F309E">
        <w:rPr>
          <w:lang w:val="fr-FR"/>
        </w:rPr>
        <w:t>obligation de demeure ou à un ordre prévoyant l</w:t>
      </w:r>
      <w:r w:rsidR="00162789">
        <w:rPr>
          <w:lang w:val="fr-FR"/>
        </w:rPr>
        <w:t>’</w:t>
      </w:r>
      <w:r w:rsidRPr="008F309E">
        <w:rPr>
          <w:lang w:val="fr-FR"/>
        </w:rPr>
        <w:t>emprisonnement ».</w:t>
      </w:r>
    </w:p>
    <w:bookmarkStart w:id="29" w:name="articolo670CPP"/>
    <w:p w:rsidR="008D33F2" w:rsidRPr="008F309E" w:rsidRDefault="008D33F2"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49</w:t>
      </w:r>
      <w:r w:rsidRPr="008F309E">
        <w:rPr>
          <w:lang w:val="fr-FR"/>
        </w:rPr>
        <w:fldChar w:fldCharType="end"/>
      </w:r>
      <w:bookmarkEnd w:id="29"/>
      <w:r w:rsidRPr="008F309E">
        <w:rPr>
          <w:lang w:val="fr-FR"/>
        </w:rPr>
        <w:t>.  La validité d</w:t>
      </w:r>
      <w:r w:rsidR="00162789">
        <w:rPr>
          <w:lang w:val="fr-FR"/>
        </w:rPr>
        <w:t>’</w:t>
      </w:r>
      <w:r w:rsidRPr="008F309E">
        <w:rPr>
          <w:lang w:val="fr-FR"/>
        </w:rPr>
        <w:t>un jugement de condamnation peut être contestée en soulevant un incident d</w:t>
      </w:r>
      <w:r w:rsidR="00162789">
        <w:rPr>
          <w:lang w:val="fr-FR"/>
        </w:rPr>
        <w:t>’</w:t>
      </w:r>
      <w:r w:rsidRPr="008F309E">
        <w:rPr>
          <w:lang w:val="fr-FR"/>
        </w:rPr>
        <w:t>exécution, comme prévu à l</w:t>
      </w:r>
      <w:r w:rsidR="00162789">
        <w:rPr>
          <w:lang w:val="fr-FR"/>
        </w:rPr>
        <w:t>’</w:t>
      </w:r>
      <w:r w:rsidRPr="008F309E">
        <w:rPr>
          <w:lang w:val="fr-FR"/>
        </w:rPr>
        <w:t>article 670 § 1 du CPP, lequel dispose, dans ses parties pertinentes :</w:t>
      </w:r>
    </w:p>
    <w:p w:rsidR="008D33F2" w:rsidRPr="008F309E" w:rsidRDefault="008D33F2" w:rsidP="008D33F2">
      <w:pPr>
        <w:pStyle w:val="ECHRParaQuote"/>
        <w:rPr>
          <w:lang w:val="fr-FR"/>
        </w:rPr>
      </w:pPr>
      <w:r w:rsidRPr="008F309E">
        <w:rPr>
          <w:lang w:val="fr-FR"/>
        </w:rPr>
        <w:t>« Lorsque le juge de l</w:t>
      </w:r>
      <w:r w:rsidR="00162789">
        <w:rPr>
          <w:lang w:val="fr-FR"/>
        </w:rPr>
        <w:t>’</w:t>
      </w:r>
      <w:r w:rsidRPr="008F309E">
        <w:rPr>
          <w:lang w:val="fr-FR"/>
        </w:rPr>
        <w:t>exécution établit que l</w:t>
      </w:r>
      <w:r w:rsidR="00162789">
        <w:rPr>
          <w:lang w:val="fr-FR"/>
        </w:rPr>
        <w:t>’</w:t>
      </w:r>
      <w:r w:rsidRPr="008F309E">
        <w:rPr>
          <w:lang w:val="fr-FR"/>
        </w:rPr>
        <w:t>acte n</w:t>
      </w:r>
      <w:r w:rsidR="00162789">
        <w:rPr>
          <w:lang w:val="fr-FR"/>
        </w:rPr>
        <w:t>’</w:t>
      </w:r>
      <w:r w:rsidRPr="008F309E">
        <w:rPr>
          <w:lang w:val="fr-FR"/>
        </w:rPr>
        <w:t>est pas valide ou qu</w:t>
      </w:r>
      <w:r w:rsidR="00162789">
        <w:rPr>
          <w:lang w:val="fr-FR"/>
        </w:rPr>
        <w:t>’</w:t>
      </w:r>
      <w:r w:rsidRPr="008F309E">
        <w:rPr>
          <w:lang w:val="fr-FR"/>
        </w:rPr>
        <w:t>il n</w:t>
      </w:r>
      <w:r w:rsidR="00162789">
        <w:rPr>
          <w:lang w:val="fr-FR"/>
        </w:rPr>
        <w:t>’</w:t>
      </w:r>
      <w:r w:rsidRPr="008F309E">
        <w:rPr>
          <w:lang w:val="fr-FR"/>
        </w:rPr>
        <w:t>est pas devenu exécutoire, [après avoir] évalué aussi sur le fond [</w:t>
      </w:r>
      <w:r w:rsidRPr="008F309E">
        <w:rPr>
          <w:i/>
          <w:lang w:val="fr-FR"/>
        </w:rPr>
        <w:t>nel merito</w:t>
      </w:r>
      <w:r w:rsidRPr="008F309E">
        <w:rPr>
          <w:lang w:val="fr-FR"/>
        </w:rPr>
        <w:t>] le respect des garanties prévues pour le cas où le condamné est introuvable, (...) il suspend l</w:t>
      </w:r>
      <w:r w:rsidR="00162789">
        <w:rPr>
          <w:lang w:val="fr-FR"/>
        </w:rPr>
        <w:t>’</w:t>
      </w:r>
      <w:r w:rsidRPr="008F309E">
        <w:rPr>
          <w:lang w:val="fr-FR"/>
        </w:rPr>
        <w:t>exécution et ordonne si nécessaire la libération de l</w:t>
      </w:r>
      <w:r w:rsidR="00162789">
        <w:rPr>
          <w:lang w:val="fr-FR"/>
        </w:rPr>
        <w:t>’</w:t>
      </w:r>
      <w:r w:rsidRPr="008F309E">
        <w:rPr>
          <w:lang w:val="fr-FR"/>
        </w:rPr>
        <w:t>intéressé et le renouvellement de la notification qui avait été irrégulière. Dans ce cas, le délai d</w:t>
      </w:r>
      <w:r w:rsidR="00162789">
        <w:rPr>
          <w:lang w:val="fr-FR"/>
        </w:rPr>
        <w:t>’</w:t>
      </w:r>
      <w:r w:rsidRPr="008F309E">
        <w:rPr>
          <w:lang w:val="fr-FR"/>
        </w:rPr>
        <w:t>appel recommence à courir. »</w:t>
      </w:r>
    </w:p>
    <w:bookmarkStart w:id="30" w:name="vecchioart175"/>
    <w:p w:rsidR="008D33F2" w:rsidRPr="008F309E" w:rsidRDefault="008D33F2"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50</w:t>
      </w:r>
      <w:r w:rsidRPr="008F309E">
        <w:rPr>
          <w:lang w:val="fr-FR"/>
        </w:rPr>
        <w:fldChar w:fldCharType="end"/>
      </w:r>
      <w:bookmarkEnd w:id="30"/>
      <w:r w:rsidRPr="008F309E">
        <w:rPr>
          <w:lang w:val="fr-FR"/>
        </w:rPr>
        <w:t>.  L</w:t>
      </w:r>
      <w:r w:rsidR="00162789">
        <w:rPr>
          <w:lang w:val="fr-FR"/>
        </w:rPr>
        <w:t>’</w:t>
      </w:r>
      <w:r w:rsidRPr="008F309E">
        <w:rPr>
          <w:lang w:val="fr-FR"/>
        </w:rPr>
        <w:t>article 175 §§ 2 et 3 CPP prévoit la possibilité d</w:t>
      </w:r>
      <w:r w:rsidR="00162789">
        <w:rPr>
          <w:lang w:val="fr-FR"/>
        </w:rPr>
        <w:t>’</w:t>
      </w:r>
      <w:r w:rsidRPr="008F309E">
        <w:rPr>
          <w:lang w:val="fr-FR"/>
        </w:rPr>
        <w:t>introduire une demande en rel</w:t>
      </w:r>
      <w:r w:rsidR="00F413C9" w:rsidRPr="008F309E">
        <w:rPr>
          <w:lang w:val="fr-FR"/>
        </w:rPr>
        <w:t>è</w:t>
      </w:r>
      <w:r w:rsidRPr="008F309E">
        <w:rPr>
          <w:lang w:val="fr-FR"/>
        </w:rPr>
        <w:t>v</w:t>
      </w:r>
      <w:r w:rsidR="00F413C9" w:rsidRPr="008F309E">
        <w:rPr>
          <w:lang w:val="fr-FR"/>
        </w:rPr>
        <w:t>ement</w:t>
      </w:r>
      <w:r w:rsidRPr="008F309E">
        <w:rPr>
          <w:lang w:val="fr-FR"/>
        </w:rPr>
        <w:t xml:space="preserve"> de forclusion. Dans son libellé en vigueur à l</w:t>
      </w:r>
      <w:r w:rsidR="00162789">
        <w:rPr>
          <w:lang w:val="fr-FR"/>
        </w:rPr>
        <w:t>’</w:t>
      </w:r>
      <w:r w:rsidRPr="008F309E">
        <w:rPr>
          <w:lang w:val="fr-FR"/>
        </w:rPr>
        <w:t>époque de l</w:t>
      </w:r>
      <w:r w:rsidR="00162789">
        <w:rPr>
          <w:lang w:val="fr-FR"/>
        </w:rPr>
        <w:t>’</w:t>
      </w:r>
      <w:r w:rsidRPr="008F309E">
        <w:rPr>
          <w:lang w:val="fr-FR"/>
        </w:rPr>
        <w:t>extradition du requérant, les parties pertinentes de cette disposition se lisaient comme suit :</w:t>
      </w:r>
    </w:p>
    <w:p w:rsidR="008D33F2" w:rsidRPr="008F309E" w:rsidRDefault="008D33F2" w:rsidP="008D33F2">
      <w:pPr>
        <w:pStyle w:val="ECHRParaQuote"/>
        <w:rPr>
          <w:lang w:val="fr-FR"/>
        </w:rPr>
      </w:pPr>
      <w:r w:rsidRPr="008F309E">
        <w:rPr>
          <w:lang w:val="fr-FR"/>
        </w:rPr>
        <w:t>« En cas de condamnation par contumace (...), l</w:t>
      </w:r>
      <w:r w:rsidR="00162789">
        <w:rPr>
          <w:lang w:val="fr-FR"/>
        </w:rPr>
        <w:t>’</w:t>
      </w:r>
      <w:r w:rsidRPr="008F309E">
        <w:rPr>
          <w:lang w:val="fr-FR"/>
        </w:rPr>
        <w:t>accusé peut demander la réouverture du délai pour attaquer le jugement lorsqu</w:t>
      </w:r>
      <w:r w:rsidR="00162789">
        <w:rPr>
          <w:lang w:val="fr-FR"/>
        </w:rPr>
        <w:t>’</w:t>
      </w:r>
      <w:r w:rsidRPr="008F309E">
        <w:rPr>
          <w:lang w:val="fr-FR"/>
        </w:rPr>
        <w:t>il peut établir qu</w:t>
      </w:r>
      <w:r w:rsidR="00162789">
        <w:rPr>
          <w:lang w:val="fr-FR"/>
        </w:rPr>
        <w:t>’</w:t>
      </w:r>
      <w:r w:rsidRPr="008F309E">
        <w:rPr>
          <w:lang w:val="fr-FR"/>
        </w:rPr>
        <w:t>il n</w:t>
      </w:r>
      <w:r w:rsidR="00162789">
        <w:rPr>
          <w:lang w:val="fr-FR"/>
        </w:rPr>
        <w:t>’</w:t>
      </w:r>
      <w:r w:rsidRPr="008F309E">
        <w:rPr>
          <w:lang w:val="fr-FR"/>
        </w:rPr>
        <w:t>a pas eu une connaissance effective [</w:t>
      </w:r>
      <w:r w:rsidRPr="008F309E">
        <w:rPr>
          <w:i/>
          <w:lang w:val="fr-FR"/>
        </w:rPr>
        <w:t>effettiva conoscenza</w:t>
      </w:r>
      <w:r w:rsidRPr="008F309E">
        <w:rPr>
          <w:lang w:val="fr-FR"/>
        </w:rPr>
        <w:t xml:space="preserve">] [du jugement] (...) [et] à condition </w:t>
      </w:r>
      <w:r w:rsidRPr="008F309E">
        <w:rPr>
          <w:lang w:val="fr-FR"/>
        </w:rPr>
        <w:lastRenderedPageBreak/>
        <w:t>qu</w:t>
      </w:r>
      <w:r w:rsidR="00162789">
        <w:rPr>
          <w:lang w:val="fr-FR"/>
        </w:rPr>
        <w:t>’</w:t>
      </w:r>
      <w:r w:rsidRPr="008F309E">
        <w:rPr>
          <w:lang w:val="fr-FR"/>
        </w:rPr>
        <w:t>aucun appel n</w:t>
      </w:r>
      <w:r w:rsidR="00162789">
        <w:rPr>
          <w:lang w:val="fr-FR"/>
        </w:rPr>
        <w:t>’</w:t>
      </w:r>
      <w:r w:rsidRPr="008F309E">
        <w:rPr>
          <w:lang w:val="fr-FR"/>
        </w:rPr>
        <w:t>ait déjà été interjeté par son défenseur et qu</w:t>
      </w:r>
      <w:r w:rsidR="00162789">
        <w:rPr>
          <w:lang w:val="fr-FR"/>
        </w:rPr>
        <w:t>’</w:t>
      </w:r>
      <w:r w:rsidRPr="008F309E">
        <w:rPr>
          <w:lang w:val="fr-FR"/>
        </w:rPr>
        <w:t>il n</w:t>
      </w:r>
      <w:r w:rsidR="00162789">
        <w:rPr>
          <w:lang w:val="fr-FR"/>
        </w:rPr>
        <w:t>’</w:t>
      </w:r>
      <w:r w:rsidRPr="008F309E">
        <w:rPr>
          <w:lang w:val="fr-FR"/>
        </w:rPr>
        <w:t>y ait pas eu faute de sa part ou, si le jugement prononcé par contumace a été notifié (...) à son avocat (...), à condition qu</w:t>
      </w:r>
      <w:r w:rsidR="00162789">
        <w:rPr>
          <w:lang w:val="fr-FR"/>
        </w:rPr>
        <w:t>’</w:t>
      </w:r>
      <w:r w:rsidRPr="008F309E">
        <w:rPr>
          <w:lang w:val="fr-FR"/>
        </w:rPr>
        <w:t>il n</w:t>
      </w:r>
      <w:r w:rsidR="00162789">
        <w:rPr>
          <w:lang w:val="fr-FR"/>
        </w:rPr>
        <w:t>’</w:t>
      </w:r>
      <w:r w:rsidRPr="008F309E">
        <w:rPr>
          <w:lang w:val="fr-FR"/>
        </w:rPr>
        <w:t>ait pas volontairement refusé de prendre connaissance des actes de la procédure.</w:t>
      </w:r>
    </w:p>
    <w:p w:rsidR="008D33F2" w:rsidRPr="008F309E" w:rsidRDefault="008D33F2" w:rsidP="008D33F2">
      <w:pPr>
        <w:pStyle w:val="ECHRParaQuote"/>
        <w:rPr>
          <w:lang w:val="fr-FR"/>
        </w:rPr>
      </w:pPr>
      <w:r w:rsidRPr="008F309E">
        <w:rPr>
          <w:lang w:val="fr-FR"/>
        </w:rPr>
        <w:t>La demande de réouverture du délai doit être introduite, sous peine d</w:t>
      </w:r>
      <w:r w:rsidR="00162789">
        <w:rPr>
          <w:lang w:val="fr-FR"/>
        </w:rPr>
        <w:t>’</w:t>
      </w:r>
      <w:r w:rsidRPr="008F309E">
        <w:rPr>
          <w:lang w:val="fr-FR"/>
        </w:rPr>
        <w:t>irrecevabilité, dans les dix jours qui suivent la date (...) à laquelle l</w:t>
      </w:r>
      <w:r w:rsidR="00162789">
        <w:rPr>
          <w:lang w:val="fr-FR"/>
        </w:rPr>
        <w:t>’</w:t>
      </w:r>
      <w:r w:rsidRPr="008F309E">
        <w:rPr>
          <w:lang w:val="fr-FR"/>
        </w:rPr>
        <w:t>accusé a eu connaissance [du jugement]. »</w:t>
      </w:r>
    </w:p>
    <w:p w:rsidR="008D33F2" w:rsidRPr="008F309E" w:rsidRDefault="008D33F2"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51</w:t>
      </w:r>
      <w:r w:rsidRPr="008F309E">
        <w:rPr>
          <w:lang w:val="fr-FR"/>
        </w:rPr>
        <w:fldChar w:fldCharType="end"/>
      </w:r>
      <w:r w:rsidRPr="008F309E">
        <w:rPr>
          <w:lang w:val="fr-FR"/>
        </w:rPr>
        <w:t xml:space="preserve">.  La jurisprudence interne faisant application de cette disposition est décrite dans </w:t>
      </w:r>
      <w:r w:rsidRPr="008F309E">
        <w:rPr>
          <w:i/>
          <w:lang w:val="fr-FR"/>
        </w:rPr>
        <w:t xml:space="preserve">Sejdovic c. Italie </w:t>
      </w:r>
      <w:r w:rsidRPr="008F309E">
        <w:rPr>
          <w:lang w:val="fr-FR"/>
        </w:rPr>
        <w:t>[GC], n</w:t>
      </w:r>
      <w:r w:rsidR="005559D3" w:rsidRPr="005559D3">
        <w:rPr>
          <w:vertAlign w:val="superscript"/>
          <w:lang w:val="fr-FR"/>
        </w:rPr>
        <w:t>o</w:t>
      </w:r>
      <w:r w:rsidRPr="008F309E">
        <w:rPr>
          <w:lang w:val="fr-FR"/>
        </w:rPr>
        <w:t xml:space="preserve"> 56581/00, §§ 23-24, CEDH 2006-II.</w:t>
      </w:r>
    </w:p>
    <w:p w:rsidR="005559D3" w:rsidRDefault="008D33F2"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52</w:t>
      </w:r>
      <w:r w:rsidRPr="008F309E">
        <w:rPr>
          <w:lang w:val="fr-FR"/>
        </w:rPr>
        <w:fldChar w:fldCharType="end"/>
      </w:r>
      <w:r w:rsidRPr="008F309E">
        <w:rPr>
          <w:lang w:val="fr-FR"/>
        </w:rPr>
        <w:t>.  Le 22 avril 2005, le Parlement a approuvé la loi n</w:t>
      </w:r>
      <w:r w:rsidR="005559D3" w:rsidRPr="005559D3">
        <w:rPr>
          <w:vertAlign w:val="superscript"/>
          <w:lang w:val="fr-FR"/>
        </w:rPr>
        <w:t>o</w:t>
      </w:r>
      <w:r w:rsidRPr="008F309E">
        <w:rPr>
          <w:lang w:val="fr-FR"/>
        </w:rPr>
        <w:t xml:space="preserve"> 60 de 2005, qui a converti en loi le décret-loi n</w:t>
      </w:r>
      <w:r w:rsidR="005559D3" w:rsidRPr="005559D3">
        <w:rPr>
          <w:vertAlign w:val="superscript"/>
          <w:lang w:val="fr-FR"/>
        </w:rPr>
        <w:t>o</w:t>
      </w:r>
      <w:r w:rsidRPr="008F309E">
        <w:rPr>
          <w:lang w:val="fr-FR"/>
        </w:rPr>
        <w:t xml:space="preserve"> 17 du 21 février 2005.</w:t>
      </w:r>
    </w:p>
    <w:bookmarkStart w:id="31" w:name="loi602005"/>
    <w:p w:rsidR="008D33F2" w:rsidRPr="008F309E" w:rsidRDefault="008D33F2"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53</w:t>
      </w:r>
      <w:r w:rsidRPr="008F309E">
        <w:rPr>
          <w:lang w:val="fr-FR"/>
        </w:rPr>
        <w:fldChar w:fldCharType="end"/>
      </w:r>
      <w:bookmarkEnd w:id="31"/>
      <w:r w:rsidRPr="008F309E">
        <w:rPr>
          <w:lang w:val="fr-FR"/>
        </w:rPr>
        <w:t>.  La loi n</w:t>
      </w:r>
      <w:r w:rsidRPr="008F309E">
        <w:rPr>
          <w:vertAlign w:val="superscript"/>
          <w:lang w:val="fr-FR"/>
        </w:rPr>
        <w:t>o</w:t>
      </w:r>
      <w:r w:rsidRPr="008F309E">
        <w:rPr>
          <w:lang w:val="fr-FR"/>
        </w:rPr>
        <w:t xml:space="preserve"> 60 de 2005 a modifié l</w:t>
      </w:r>
      <w:r w:rsidR="00162789">
        <w:rPr>
          <w:lang w:val="fr-FR"/>
        </w:rPr>
        <w:t>’</w:t>
      </w:r>
      <w:r w:rsidRPr="008F309E">
        <w:rPr>
          <w:lang w:val="fr-FR"/>
        </w:rPr>
        <w:t>article 175 CPP. Le nouveau paragraphe 2 de cette disposition est ainsi rédigé :</w:t>
      </w:r>
    </w:p>
    <w:p w:rsidR="008D33F2" w:rsidRPr="008F309E" w:rsidRDefault="008D33F2" w:rsidP="008D33F2">
      <w:pPr>
        <w:pStyle w:val="ECHRParaQuote"/>
        <w:rPr>
          <w:lang w:val="fr-FR"/>
        </w:rPr>
      </w:pPr>
      <w:r w:rsidRPr="008F309E">
        <w:rPr>
          <w:lang w:val="fr-FR"/>
        </w:rPr>
        <w:t>« En cas de condamnation par contumace (...), le délai pour attaquer le jugement est rouvert, à la demande de l</w:t>
      </w:r>
      <w:r w:rsidR="00162789">
        <w:rPr>
          <w:lang w:val="fr-FR"/>
        </w:rPr>
        <w:t>’</w:t>
      </w:r>
      <w:r w:rsidRPr="008F309E">
        <w:rPr>
          <w:lang w:val="fr-FR"/>
        </w:rPr>
        <w:t>accusé, sauf si ce dernier a eu une connaissance effective de la procédure [diligentée à son encontre] ou du jugement [</w:t>
      </w:r>
      <w:r w:rsidRPr="008F309E">
        <w:rPr>
          <w:i/>
          <w:lang w:val="fr-FR"/>
        </w:rPr>
        <w:t>provvedimento</w:t>
      </w:r>
      <w:r w:rsidRPr="008F309E">
        <w:rPr>
          <w:lang w:val="fr-FR"/>
        </w:rPr>
        <w:t>] et a volontairement renoncé à comparaître ou à attaquer le jugement. Les autorités judiciaires accomplissent toute vérification nécessaire à ces fins. »</w:t>
      </w:r>
    </w:p>
    <w:bookmarkStart w:id="32" w:name="loi6020052"/>
    <w:p w:rsidR="008D33F2" w:rsidRPr="008F309E" w:rsidRDefault="008D33F2"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54</w:t>
      </w:r>
      <w:r w:rsidRPr="008F309E">
        <w:rPr>
          <w:lang w:val="fr-FR"/>
        </w:rPr>
        <w:fldChar w:fldCharType="end"/>
      </w:r>
      <w:bookmarkEnd w:id="32"/>
      <w:r w:rsidRPr="008F309E">
        <w:rPr>
          <w:lang w:val="fr-FR"/>
        </w:rPr>
        <w:t>.  La loi n</w:t>
      </w:r>
      <w:r w:rsidRPr="008F309E">
        <w:rPr>
          <w:vertAlign w:val="superscript"/>
          <w:lang w:val="fr-FR"/>
        </w:rPr>
        <w:t>o</w:t>
      </w:r>
      <w:r w:rsidRPr="008F309E">
        <w:rPr>
          <w:lang w:val="fr-FR"/>
        </w:rPr>
        <w:t xml:space="preserve"> 60 de 2005 a en outre introduit à l</w:t>
      </w:r>
      <w:r w:rsidR="00162789">
        <w:rPr>
          <w:lang w:val="fr-FR"/>
        </w:rPr>
        <w:t>’</w:t>
      </w:r>
      <w:r w:rsidRPr="008F309E">
        <w:rPr>
          <w:lang w:val="fr-FR"/>
        </w:rPr>
        <w:t xml:space="preserve">article 175 CPP un paragraphe 2 </w:t>
      </w:r>
      <w:r w:rsidRPr="008F309E">
        <w:rPr>
          <w:i/>
          <w:lang w:val="fr-FR"/>
        </w:rPr>
        <w:t>bis</w:t>
      </w:r>
      <w:r w:rsidRPr="008F309E">
        <w:rPr>
          <w:lang w:val="fr-FR"/>
        </w:rPr>
        <w:t>, ainsi rédigé :</w:t>
      </w:r>
    </w:p>
    <w:p w:rsidR="008D33F2" w:rsidRPr="008F309E" w:rsidRDefault="008D33F2" w:rsidP="008D33F2">
      <w:pPr>
        <w:pStyle w:val="ECHRParaQuote"/>
        <w:rPr>
          <w:lang w:val="fr-FR"/>
        </w:rPr>
      </w:pPr>
      <w:r w:rsidRPr="008F309E">
        <w:rPr>
          <w:lang w:val="fr-FR"/>
        </w:rPr>
        <w:t>« La demande indiquée au paragraphe 2 est introduite, sous peine d</w:t>
      </w:r>
      <w:r w:rsidR="00162789">
        <w:rPr>
          <w:lang w:val="fr-FR"/>
        </w:rPr>
        <w:t>’</w:t>
      </w:r>
      <w:r w:rsidRPr="008F309E">
        <w:rPr>
          <w:lang w:val="fr-FR"/>
        </w:rPr>
        <w:t>irrecevabilité, dans les trente jours qui suivent la date à laquelle l</w:t>
      </w:r>
      <w:r w:rsidR="00162789">
        <w:rPr>
          <w:lang w:val="fr-FR"/>
        </w:rPr>
        <w:t>’</w:t>
      </w:r>
      <w:r w:rsidRPr="008F309E">
        <w:rPr>
          <w:lang w:val="fr-FR"/>
        </w:rPr>
        <w:t>accusé a eu une connaissance effective du jugement. En cas d</w:t>
      </w:r>
      <w:r w:rsidR="00162789">
        <w:rPr>
          <w:lang w:val="fr-FR"/>
        </w:rPr>
        <w:t>’</w:t>
      </w:r>
      <w:r w:rsidRPr="008F309E">
        <w:rPr>
          <w:lang w:val="fr-FR"/>
        </w:rPr>
        <w:t>extradition depuis l</w:t>
      </w:r>
      <w:r w:rsidR="00162789">
        <w:rPr>
          <w:lang w:val="fr-FR"/>
        </w:rPr>
        <w:t>’</w:t>
      </w:r>
      <w:r w:rsidRPr="008F309E">
        <w:rPr>
          <w:lang w:val="fr-FR"/>
        </w:rPr>
        <w:t>étranger, le délai pour présenter la demande commence à courir à partir du moment où l</w:t>
      </w:r>
      <w:r w:rsidR="00162789">
        <w:rPr>
          <w:lang w:val="fr-FR"/>
        </w:rPr>
        <w:t>’</w:t>
      </w:r>
      <w:r w:rsidRPr="008F309E">
        <w:rPr>
          <w:lang w:val="fr-FR"/>
        </w:rPr>
        <w:t>accusé est livré [aux autorités italiennes] (...). »</w:t>
      </w:r>
    </w:p>
    <w:p w:rsidR="008D33F2" w:rsidRPr="008F309E" w:rsidRDefault="008D33F2" w:rsidP="008D33F2">
      <w:pPr>
        <w:pStyle w:val="ECHRHeading2"/>
        <w:rPr>
          <w:lang w:val="fr-FR"/>
        </w:rPr>
      </w:pPr>
      <w:r w:rsidRPr="008F309E">
        <w:rPr>
          <w:lang w:val="fr-FR"/>
        </w:rPr>
        <w:t>B.  La réparation pour détention « injuste »</w:t>
      </w:r>
    </w:p>
    <w:bookmarkStart w:id="33" w:name="detentioninjuste1"/>
    <w:p w:rsidR="008D33F2" w:rsidRPr="008F309E" w:rsidRDefault="008D33F2" w:rsidP="008D33F2">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55</w:t>
      </w:r>
      <w:r w:rsidRPr="008F309E">
        <w:rPr>
          <w:lang w:val="fr-FR"/>
        </w:rPr>
        <w:fldChar w:fldCharType="end"/>
      </w:r>
      <w:bookmarkEnd w:id="33"/>
      <w:r w:rsidRPr="008F309E">
        <w:rPr>
          <w:lang w:val="fr-FR"/>
        </w:rPr>
        <w:t>.  L</w:t>
      </w:r>
      <w:r w:rsidR="00162789">
        <w:rPr>
          <w:lang w:val="fr-FR"/>
        </w:rPr>
        <w:t>’</w:t>
      </w:r>
      <w:r w:rsidRPr="008F309E">
        <w:rPr>
          <w:lang w:val="fr-FR"/>
        </w:rPr>
        <w:t>article 314 du CPP prévoit un droit à réparation pour la détention provisoire dite « injuste », dans deux cas distincts : lorsque, à l</w:t>
      </w:r>
      <w:r w:rsidR="00162789">
        <w:rPr>
          <w:lang w:val="fr-FR"/>
        </w:rPr>
        <w:t>’</w:t>
      </w:r>
      <w:r w:rsidRPr="008F309E">
        <w:rPr>
          <w:lang w:val="fr-FR"/>
        </w:rPr>
        <w:t>issue de la procédure pénale sur le fond, l</w:t>
      </w:r>
      <w:r w:rsidR="00162789">
        <w:rPr>
          <w:lang w:val="fr-FR"/>
        </w:rPr>
        <w:t>’</w:t>
      </w:r>
      <w:r w:rsidRPr="008F309E">
        <w:rPr>
          <w:lang w:val="fr-FR"/>
        </w:rPr>
        <w:t xml:space="preserve">accusé est acquitté </w:t>
      </w:r>
      <w:r w:rsidR="00F413C9" w:rsidRPr="008F309E">
        <w:rPr>
          <w:lang w:val="fr-FR"/>
        </w:rPr>
        <w:t xml:space="preserve">(article 314 § 1) </w:t>
      </w:r>
      <w:r w:rsidRPr="008F309E">
        <w:rPr>
          <w:lang w:val="fr-FR"/>
        </w:rPr>
        <w:t>ou lorsqu</w:t>
      </w:r>
      <w:r w:rsidR="00162789">
        <w:rPr>
          <w:lang w:val="fr-FR"/>
        </w:rPr>
        <w:t>’</w:t>
      </w:r>
      <w:r w:rsidRPr="008F309E">
        <w:rPr>
          <w:lang w:val="fr-FR"/>
        </w:rPr>
        <w:t xml:space="preserve">il est établi que le suspect a été placé ou maintenu en détention provisoire au mépris des articles 273 et 280 du CPP </w:t>
      </w:r>
      <w:r w:rsidRPr="008F309E">
        <w:rPr>
          <w:color w:val="000000"/>
          <w:lang w:val="fr-FR"/>
        </w:rPr>
        <w:t>(</w:t>
      </w:r>
      <w:r w:rsidR="00F413C9" w:rsidRPr="008F309E">
        <w:rPr>
          <w:lang w:val="fr-FR"/>
        </w:rPr>
        <w:t xml:space="preserve">article 314 § 2 ; </w:t>
      </w:r>
      <w:r w:rsidRPr="008F309E">
        <w:rPr>
          <w:color w:val="000000"/>
          <w:lang w:val="fr-FR"/>
        </w:rPr>
        <w:t xml:space="preserve">voir, pour la jurisprudence interne faisant application de ceci, </w:t>
      </w:r>
      <w:r w:rsidRPr="008F309E">
        <w:rPr>
          <w:i/>
          <w:color w:val="000000"/>
          <w:lang w:val="fr-FR"/>
        </w:rPr>
        <w:t xml:space="preserve">N.C. c. Italie </w:t>
      </w:r>
      <w:r w:rsidRPr="008F309E">
        <w:rPr>
          <w:color w:val="000000"/>
          <w:lang w:val="fr-FR"/>
        </w:rPr>
        <w:t>[GC], n</w:t>
      </w:r>
      <w:r w:rsidR="005559D3" w:rsidRPr="005559D3">
        <w:rPr>
          <w:color w:val="000000"/>
          <w:vertAlign w:val="superscript"/>
          <w:lang w:val="fr-FR"/>
        </w:rPr>
        <w:t>o</w:t>
      </w:r>
      <w:r w:rsidRPr="008F309E">
        <w:rPr>
          <w:color w:val="000000"/>
          <w:lang w:val="fr-FR"/>
        </w:rPr>
        <w:t> </w:t>
      </w:r>
      <w:r w:rsidRPr="008F309E">
        <w:rPr>
          <w:lang w:val="fr-FR"/>
        </w:rPr>
        <w:t>24952/94</w:t>
      </w:r>
      <w:r w:rsidRPr="008F309E">
        <w:rPr>
          <w:color w:val="000000"/>
          <w:lang w:val="fr-FR"/>
        </w:rPr>
        <w:t>, §§</w:t>
      </w:r>
      <w:r w:rsidR="00652FF8">
        <w:rPr>
          <w:color w:val="000000"/>
          <w:lang w:val="fr-FR"/>
        </w:rPr>
        <w:t xml:space="preserve"> </w:t>
      </w:r>
      <w:r w:rsidRPr="008F309E">
        <w:rPr>
          <w:color w:val="000000"/>
          <w:lang w:val="fr-FR"/>
        </w:rPr>
        <w:t>30-31, CEDH 2002-X).</w:t>
      </w:r>
    </w:p>
    <w:p w:rsidR="008D33F2" w:rsidRPr="008F309E" w:rsidRDefault="008D33F2" w:rsidP="008D33F2">
      <w:pPr>
        <w:pStyle w:val="ECHRPara"/>
        <w:rPr>
          <w:lang w:val="fr-FR"/>
        </w:rPr>
      </w:pPr>
      <w:r w:rsidRPr="008F309E">
        <w:rPr>
          <w:lang w:val="fr-FR"/>
        </w:rPr>
        <w:t>L</w:t>
      </w:r>
      <w:r w:rsidR="00162789">
        <w:rPr>
          <w:lang w:val="fr-FR"/>
        </w:rPr>
        <w:t>’</w:t>
      </w:r>
      <w:r w:rsidRPr="008F309E">
        <w:rPr>
          <w:lang w:val="fr-FR"/>
        </w:rPr>
        <w:t>article 314 § 1 se lit comme suit :</w:t>
      </w:r>
    </w:p>
    <w:p w:rsidR="00E77CB3" w:rsidRPr="008F309E" w:rsidRDefault="008D33F2" w:rsidP="009A795C">
      <w:pPr>
        <w:pStyle w:val="ECHRParaQuote"/>
        <w:rPr>
          <w:lang w:val="fr-FR"/>
        </w:rPr>
      </w:pPr>
      <w:r w:rsidRPr="008F309E">
        <w:rPr>
          <w:lang w:val="fr-FR"/>
        </w:rPr>
        <w:t>« Quiconque est relaxé par un jugement définitif au motif que les faits reprochés ne se sont pas produits, qu</w:t>
      </w:r>
      <w:r w:rsidR="00162789">
        <w:rPr>
          <w:lang w:val="fr-FR"/>
        </w:rPr>
        <w:t>’</w:t>
      </w:r>
      <w:r w:rsidRPr="008F309E">
        <w:rPr>
          <w:lang w:val="fr-FR"/>
        </w:rPr>
        <w:t>il n</w:t>
      </w:r>
      <w:r w:rsidR="00162789">
        <w:rPr>
          <w:lang w:val="fr-FR"/>
        </w:rPr>
        <w:t>’</w:t>
      </w:r>
      <w:r w:rsidRPr="008F309E">
        <w:rPr>
          <w:lang w:val="fr-FR"/>
        </w:rPr>
        <w:t>a pas commis les faits, que les faits ne sont pas constitutifs d</w:t>
      </w:r>
      <w:r w:rsidR="00162789">
        <w:rPr>
          <w:lang w:val="fr-FR"/>
        </w:rPr>
        <w:t>’</w:t>
      </w:r>
      <w:r w:rsidRPr="008F309E">
        <w:rPr>
          <w:lang w:val="fr-FR"/>
        </w:rPr>
        <w:t>une infraction ou ne sont pas érigés en infraction par la loi a droit à une réparation pour la détention provisoire subie, à condition de ne pas avoir provoqué [sa détention] ou contribué à la provoquer intentionnellement ou par faute lourde.</w:t>
      </w:r>
      <w:r w:rsidR="00F413C9" w:rsidRPr="008F309E">
        <w:rPr>
          <w:lang w:val="fr-FR"/>
        </w:rPr>
        <w:t> »</w:t>
      </w:r>
    </w:p>
    <w:p w:rsidR="00E77CB3" w:rsidRPr="008F309E" w:rsidRDefault="00E77CB3" w:rsidP="00E77CB3">
      <w:pPr>
        <w:pStyle w:val="ECHRTitle1"/>
        <w:rPr>
          <w:lang w:val="fr-FR"/>
        </w:rPr>
      </w:pPr>
      <w:r w:rsidRPr="008F309E">
        <w:rPr>
          <w:lang w:val="fr-FR"/>
        </w:rPr>
        <w:lastRenderedPageBreak/>
        <w:t>EN DROIT</w:t>
      </w:r>
    </w:p>
    <w:p w:rsidR="00E77CB3" w:rsidRPr="008F309E" w:rsidRDefault="00E77CB3" w:rsidP="00C63990">
      <w:pPr>
        <w:pStyle w:val="ECHRHeading1"/>
        <w:rPr>
          <w:lang w:val="fr-FR"/>
        </w:rPr>
      </w:pPr>
      <w:r w:rsidRPr="008F309E">
        <w:rPr>
          <w:lang w:val="fr-FR"/>
        </w:rPr>
        <w:t>I.  SUR LA VIOLATION ALLÉGUÉE DE L</w:t>
      </w:r>
      <w:r w:rsidR="00162789">
        <w:rPr>
          <w:lang w:val="fr-FR"/>
        </w:rPr>
        <w:t>’</w:t>
      </w:r>
      <w:r w:rsidRPr="008F309E">
        <w:rPr>
          <w:lang w:val="fr-FR"/>
        </w:rPr>
        <w:t xml:space="preserve">ARTICLE </w:t>
      </w:r>
      <w:r w:rsidR="00886D5F" w:rsidRPr="008F309E">
        <w:rPr>
          <w:lang w:val="fr-FR"/>
        </w:rPr>
        <w:t xml:space="preserve">6 </w:t>
      </w:r>
      <w:r w:rsidRPr="008F309E">
        <w:rPr>
          <w:lang w:val="fr-FR"/>
        </w:rPr>
        <w:t>DE LA CONVENTION</w:t>
      </w:r>
      <w:r w:rsidR="00886D5F" w:rsidRPr="008F309E">
        <w:rPr>
          <w:lang w:val="fr-FR"/>
        </w:rPr>
        <w:t xml:space="preserve"> ET DE L</w:t>
      </w:r>
      <w:r w:rsidR="00162789">
        <w:rPr>
          <w:lang w:val="fr-FR"/>
        </w:rPr>
        <w:t>’</w:t>
      </w:r>
      <w:r w:rsidR="00886D5F" w:rsidRPr="008F309E">
        <w:rPr>
          <w:lang w:val="fr-FR"/>
        </w:rPr>
        <w:t>ARTICLE 2 DU PROTOCOLE N</w:t>
      </w:r>
      <w:r w:rsidR="005559D3" w:rsidRPr="005559D3">
        <w:rPr>
          <w:vertAlign w:val="superscript"/>
          <w:lang w:val="fr-FR"/>
        </w:rPr>
        <w:t>o</w:t>
      </w:r>
      <w:r w:rsidR="00886D5F" w:rsidRPr="008F309E">
        <w:rPr>
          <w:lang w:val="fr-FR"/>
        </w:rPr>
        <w:t xml:space="preserve"> 7 </w:t>
      </w:r>
      <w:r w:rsidR="00886D5F" w:rsidRPr="008F309E">
        <w:rPr>
          <w:rFonts w:cstheme="majorHAnsi"/>
          <w:lang w:val="fr-FR"/>
        </w:rPr>
        <w:t>À</w:t>
      </w:r>
      <w:r w:rsidR="00886D5F" w:rsidRPr="008F309E">
        <w:rPr>
          <w:lang w:val="fr-FR"/>
        </w:rPr>
        <w:t xml:space="preserve"> LA CONVENTION</w:t>
      </w:r>
    </w:p>
    <w:p w:rsidR="00886D5F" w:rsidRPr="008F309E" w:rsidRDefault="008D33F2" w:rsidP="00886D5F">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56</w:t>
      </w:r>
      <w:r w:rsidRPr="008F309E">
        <w:rPr>
          <w:lang w:val="fr-FR"/>
        </w:rPr>
        <w:fldChar w:fldCharType="end"/>
      </w:r>
      <w:r w:rsidR="00E77CB3" w:rsidRPr="008F309E">
        <w:rPr>
          <w:lang w:val="fr-FR"/>
        </w:rPr>
        <w:t>.  </w:t>
      </w:r>
      <w:r w:rsidR="00EA2BEB" w:rsidRPr="008F309E">
        <w:rPr>
          <w:lang w:val="fr-FR"/>
        </w:rPr>
        <w:t>Le requérant se plaint d</w:t>
      </w:r>
      <w:r w:rsidR="00162789">
        <w:rPr>
          <w:lang w:val="fr-FR"/>
        </w:rPr>
        <w:t>’</w:t>
      </w:r>
      <w:r w:rsidR="00EA2BEB" w:rsidRPr="008F309E">
        <w:rPr>
          <w:lang w:val="fr-FR"/>
        </w:rPr>
        <w:t>avoir été jugé par contumace, alors qu</w:t>
      </w:r>
      <w:r w:rsidR="00162789">
        <w:rPr>
          <w:lang w:val="fr-FR"/>
        </w:rPr>
        <w:t>’</w:t>
      </w:r>
      <w:r w:rsidR="00EA2BEB" w:rsidRPr="008F309E">
        <w:rPr>
          <w:lang w:val="fr-FR"/>
        </w:rPr>
        <w:t>il était détenu sous écrou extraditionnel au Brésil</w:t>
      </w:r>
      <w:r w:rsidR="00886D5F" w:rsidRPr="008F309E">
        <w:rPr>
          <w:lang w:val="fr-FR"/>
        </w:rPr>
        <w:t>.</w:t>
      </w:r>
      <w:r w:rsidR="00EA2BEB" w:rsidRPr="008F309E">
        <w:rPr>
          <w:lang w:val="fr-FR"/>
        </w:rPr>
        <w:t xml:space="preserve"> </w:t>
      </w:r>
      <w:r w:rsidR="00886D5F" w:rsidRPr="008F309E">
        <w:rPr>
          <w:lang w:val="fr-FR"/>
        </w:rPr>
        <w:t>De plus, il allègue qu</w:t>
      </w:r>
      <w:r w:rsidR="00162789">
        <w:rPr>
          <w:lang w:val="fr-FR"/>
        </w:rPr>
        <w:t>’</w:t>
      </w:r>
      <w:r w:rsidR="00886D5F" w:rsidRPr="008F309E">
        <w:rPr>
          <w:lang w:val="fr-FR"/>
        </w:rPr>
        <w:t>il aurait dû recevoir la notification de l</w:t>
      </w:r>
      <w:r w:rsidR="00162789">
        <w:rPr>
          <w:lang w:val="fr-FR"/>
        </w:rPr>
        <w:t>’</w:t>
      </w:r>
      <w:r w:rsidR="00886D5F" w:rsidRPr="008F309E">
        <w:rPr>
          <w:lang w:val="fr-FR"/>
        </w:rPr>
        <w:t xml:space="preserve">arrêt de condamnation de première instance </w:t>
      </w:r>
      <w:r w:rsidR="00CA337F" w:rsidRPr="008F309E">
        <w:rPr>
          <w:lang w:val="fr-FR"/>
        </w:rPr>
        <w:t>sur</w:t>
      </w:r>
      <w:r w:rsidR="00886D5F" w:rsidRPr="008F309E">
        <w:rPr>
          <w:lang w:val="fr-FR"/>
        </w:rPr>
        <w:t xml:space="preserve"> son lieu de détention au Brésil. L</w:t>
      </w:r>
      <w:r w:rsidR="00162789">
        <w:rPr>
          <w:lang w:val="fr-FR"/>
        </w:rPr>
        <w:t>’</w:t>
      </w:r>
      <w:r w:rsidR="00886D5F" w:rsidRPr="008F309E">
        <w:rPr>
          <w:lang w:val="fr-FR"/>
        </w:rPr>
        <w:t>omission d</w:t>
      </w:r>
      <w:r w:rsidR="00162789">
        <w:rPr>
          <w:lang w:val="fr-FR"/>
        </w:rPr>
        <w:t>’</w:t>
      </w:r>
      <w:r w:rsidR="00886D5F" w:rsidRPr="008F309E">
        <w:rPr>
          <w:lang w:val="fr-FR"/>
        </w:rPr>
        <w:t>effectuer cette notification aurait entraîné une violation de son droit à un double degré de juridiction en matière pénale.</w:t>
      </w:r>
    </w:p>
    <w:p w:rsidR="00886D5F" w:rsidRPr="008F309E" w:rsidRDefault="00886D5F" w:rsidP="00886D5F">
      <w:pPr>
        <w:pStyle w:val="ECHRPara"/>
        <w:rPr>
          <w:lang w:val="fr-FR"/>
        </w:rPr>
      </w:pPr>
      <w:r w:rsidRPr="008F309E">
        <w:rPr>
          <w:lang w:val="fr-FR"/>
        </w:rPr>
        <w:t xml:space="preserve">Le requérant invoque les articles 6 de </w:t>
      </w:r>
      <w:r w:rsidR="00401C3C">
        <w:rPr>
          <w:lang w:val="fr-FR"/>
        </w:rPr>
        <w:t>la Convention et 2 du Protocole </w:t>
      </w:r>
      <w:r w:rsidRPr="008F309E">
        <w:rPr>
          <w:lang w:val="fr-FR"/>
        </w:rPr>
        <w:t>n</w:t>
      </w:r>
      <w:r w:rsidR="005559D3" w:rsidRPr="005559D3">
        <w:rPr>
          <w:vertAlign w:val="superscript"/>
          <w:lang w:val="fr-FR"/>
        </w:rPr>
        <w:t>o</w:t>
      </w:r>
      <w:r w:rsidRPr="008F309E">
        <w:rPr>
          <w:lang w:val="fr-FR"/>
        </w:rPr>
        <w:t> 7 à la Convention.</w:t>
      </w:r>
    </w:p>
    <w:p w:rsidR="003C48E2" w:rsidRPr="008F309E" w:rsidRDefault="003C48E2" w:rsidP="003C48E2">
      <w:pPr>
        <w:pStyle w:val="ECHRPara"/>
        <w:rPr>
          <w:lang w:val="fr-FR"/>
        </w:rPr>
      </w:pPr>
      <w:r w:rsidRPr="008F309E">
        <w:rPr>
          <w:lang w:val="fr-FR"/>
        </w:rPr>
        <w:t>En ses parties pertinentes, l</w:t>
      </w:r>
      <w:r w:rsidR="00162789">
        <w:rPr>
          <w:lang w:val="fr-FR"/>
        </w:rPr>
        <w:t>’</w:t>
      </w:r>
      <w:r w:rsidRPr="008F309E">
        <w:rPr>
          <w:lang w:val="fr-FR"/>
        </w:rPr>
        <w:t>article 6 est ainsi libellé :</w:t>
      </w:r>
    </w:p>
    <w:p w:rsidR="003C48E2" w:rsidRPr="008F309E" w:rsidRDefault="003C48E2" w:rsidP="003C48E2">
      <w:pPr>
        <w:pStyle w:val="ECHRParaQuote"/>
        <w:rPr>
          <w:lang w:val="fr-FR"/>
        </w:rPr>
      </w:pPr>
      <w:r w:rsidRPr="008F309E">
        <w:rPr>
          <w:lang w:val="fr-FR"/>
        </w:rPr>
        <w:t>« 1.  Toute personne a droit à ce que sa cause soit entendue équitablement (</w:t>
      </w:r>
      <w:r w:rsidR="005559D3">
        <w:rPr>
          <w:lang w:val="fr-FR"/>
        </w:rPr>
        <w:t>...</w:t>
      </w:r>
      <w:r w:rsidRPr="008F309E">
        <w:rPr>
          <w:lang w:val="fr-FR"/>
        </w:rPr>
        <w:t>), par un tribunal (</w:t>
      </w:r>
      <w:r w:rsidR="005559D3">
        <w:rPr>
          <w:lang w:val="fr-FR"/>
        </w:rPr>
        <w:t>...</w:t>
      </w:r>
      <w:r w:rsidRPr="008F309E">
        <w:rPr>
          <w:lang w:val="fr-FR"/>
        </w:rPr>
        <w:t>) qui décidera (</w:t>
      </w:r>
      <w:r w:rsidR="005559D3">
        <w:rPr>
          <w:lang w:val="fr-FR"/>
        </w:rPr>
        <w:t>...</w:t>
      </w:r>
      <w:r w:rsidRPr="008F309E">
        <w:rPr>
          <w:lang w:val="fr-FR"/>
        </w:rPr>
        <w:t>) du bien-fondé de toute accusation en matière pénale dirigée contre elle. (</w:t>
      </w:r>
      <w:r w:rsidR="005559D3">
        <w:rPr>
          <w:lang w:val="fr-FR"/>
        </w:rPr>
        <w:t>...</w:t>
      </w:r>
      <w:r w:rsidRPr="008F309E">
        <w:rPr>
          <w:lang w:val="fr-FR"/>
        </w:rPr>
        <w:t>).</w:t>
      </w:r>
    </w:p>
    <w:p w:rsidR="003C48E2" w:rsidRPr="008F309E" w:rsidRDefault="00F413C9" w:rsidP="003C48E2">
      <w:pPr>
        <w:pStyle w:val="ECHRParaQuote"/>
        <w:rPr>
          <w:lang w:val="fr-FR"/>
        </w:rPr>
      </w:pPr>
      <w:r w:rsidRPr="008F309E">
        <w:rPr>
          <w:lang w:val="fr-FR"/>
        </w:rPr>
        <w:t>(</w:t>
      </w:r>
      <w:r w:rsidR="005559D3">
        <w:rPr>
          <w:lang w:val="fr-FR"/>
        </w:rPr>
        <w:t>...</w:t>
      </w:r>
      <w:r w:rsidRPr="008F309E">
        <w:rPr>
          <w:lang w:val="fr-FR"/>
        </w:rPr>
        <w:t>).</w:t>
      </w:r>
    </w:p>
    <w:p w:rsidR="003C48E2" w:rsidRPr="008F309E" w:rsidRDefault="003C48E2" w:rsidP="003C48E2">
      <w:pPr>
        <w:pStyle w:val="ECHRParaQuote"/>
        <w:rPr>
          <w:lang w:val="fr-FR"/>
        </w:rPr>
      </w:pPr>
      <w:r w:rsidRPr="008F309E">
        <w:rPr>
          <w:lang w:val="fr-FR"/>
        </w:rPr>
        <w:t>3.  Tout accusé a droit notamment à :</w:t>
      </w:r>
    </w:p>
    <w:p w:rsidR="003C48E2" w:rsidRPr="008F309E" w:rsidRDefault="003C48E2" w:rsidP="003C48E2">
      <w:pPr>
        <w:pStyle w:val="ECHRParaQuote"/>
        <w:rPr>
          <w:lang w:val="fr-FR"/>
        </w:rPr>
      </w:pPr>
      <w:r w:rsidRPr="008F309E">
        <w:rPr>
          <w:lang w:val="fr-FR"/>
        </w:rPr>
        <w:t>a)  être informé, dans le plus court délai, dans une langue qu</w:t>
      </w:r>
      <w:r w:rsidR="00162789">
        <w:rPr>
          <w:lang w:val="fr-FR"/>
        </w:rPr>
        <w:t>’</w:t>
      </w:r>
      <w:r w:rsidRPr="008F309E">
        <w:rPr>
          <w:lang w:val="fr-FR"/>
        </w:rPr>
        <w:t>il comprend et d</w:t>
      </w:r>
      <w:r w:rsidR="00162789">
        <w:rPr>
          <w:lang w:val="fr-FR"/>
        </w:rPr>
        <w:t>’</w:t>
      </w:r>
      <w:r w:rsidRPr="008F309E">
        <w:rPr>
          <w:lang w:val="fr-FR"/>
        </w:rPr>
        <w:t>une manière détaillée, de la nature et de la cause de l</w:t>
      </w:r>
      <w:r w:rsidR="00162789">
        <w:rPr>
          <w:lang w:val="fr-FR"/>
        </w:rPr>
        <w:t>’</w:t>
      </w:r>
      <w:r w:rsidRPr="008F309E">
        <w:rPr>
          <w:lang w:val="fr-FR"/>
        </w:rPr>
        <w:t>accusation portée contre lui ;</w:t>
      </w:r>
    </w:p>
    <w:p w:rsidR="003C48E2" w:rsidRPr="008F309E" w:rsidRDefault="003C48E2" w:rsidP="003C48E2">
      <w:pPr>
        <w:pStyle w:val="ECHRParaQuote"/>
        <w:rPr>
          <w:lang w:val="fr-FR"/>
        </w:rPr>
      </w:pPr>
      <w:r w:rsidRPr="008F309E">
        <w:rPr>
          <w:lang w:val="fr-FR"/>
        </w:rPr>
        <w:t>b)  disposer du temps et des facilités nécessaires à la préparation de sa défense ;</w:t>
      </w:r>
    </w:p>
    <w:p w:rsidR="003C48E2" w:rsidRPr="008F309E" w:rsidRDefault="003C48E2" w:rsidP="003C48E2">
      <w:pPr>
        <w:pStyle w:val="ECHRParaQuote"/>
        <w:rPr>
          <w:lang w:val="fr-FR"/>
        </w:rPr>
      </w:pPr>
      <w:r w:rsidRPr="008F309E">
        <w:rPr>
          <w:lang w:val="fr-FR"/>
        </w:rPr>
        <w:t>c)  se défendre lui-même ou avoir l</w:t>
      </w:r>
      <w:r w:rsidR="00162789">
        <w:rPr>
          <w:lang w:val="fr-FR"/>
        </w:rPr>
        <w:t>’</w:t>
      </w:r>
      <w:r w:rsidRPr="008F309E">
        <w:rPr>
          <w:lang w:val="fr-FR"/>
        </w:rPr>
        <w:t>assistance d</w:t>
      </w:r>
      <w:r w:rsidR="00162789">
        <w:rPr>
          <w:lang w:val="fr-FR"/>
        </w:rPr>
        <w:t>’</w:t>
      </w:r>
      <w:r w:rsidRPr="008F309E">
        <w:rPr>
          <w:lang w:val="fr-FR"/>
        </w:rPr>
        <w:t>un défenseur de son choix et, s</w:t>
      </w:r>
      <w:r w:rsidR="00162789">
        <w:rPr>
          <w:lang w:val="fr-FR"/>
        </w:rPr>
        <w:t>’</w:t>
      </w:r>
      <w:r w:rsidRPr="008F309E">
        <w:rPr>
          <w:lang w:val="fr-FR"/>
        </w:rPr>
        <w:t>il n</w:t>
      </w:r>
      <w:r w:rsidR="00162789">
        <w:rPr>
          <w:lang w:val="fr-FR"/>
        </w:rPr>
        <w:t>’</w:t>
      </w:r>
      <w:r w:rsidRPr="008F309E">
        <w:rPr>
          <w:lang w:val="fr-FR"/>
        </w:rPr>
        <w:t>a pas les moyens de rémunérer un défenseur, pouvoir être assisté gratuitement par un avocat d</w:t>
      </w:r>
      <w:r w:rsidR="00162789">
        <w:rPr>
          <w:lang w:val="fr-FR"/>
        </w:rPr>
        <w:t>’</w:t>
      </w:r>
      <w:r w:rsidRPr="008F309E">
        <w:rPr>
          <w:lang w:val="fr-FR"/>
        </w:rPr>
        <w:t>office, lorsque les intérêts de la justice l</w:t>
      </w:r>
      <w:r w:rsidR="00162789">
        <w:rPr>
          <w:lang w:val="fr-FR"/>
        </w:rPr>
        <w:t>’</w:t>
      </w:r>
      <w:r w:rsidRPr="008F309E">
        <w:rPr>
          <w:lang w:val="fr-FR"/>
        </w:rPr>
        <w:t>exigent ;</w:t>
      </w:r>
    </w:p>
    <w:p w:rsidR="003C48E2" w:rsidRPr="008F309E" w:rsidRDefault="00F413C9" w:rsidP="003C48E2">
      <w:pPr>
        <w:pStyle w:val="ECHRParaQuote"/>
        <w:rPr>
          <w:lang w:val="fr-FR"/>
        </w:rPr>
      </w:pPr>
      <w:r w:rsidRPr="008F309E">
        <w:rPr>
          <w:lang w:val="fr-FR"/>
        </w:rPr>
        <w:t>(</w:t>
      </w:r>
      <w:r w:rsidR="005559D3">
        <w:rPr>
          <w:lang w:val="fr-FR"/>
        </w:rPr>
        <w:t>...</w:t>
      </w:r>
      <w:r w:rsidRPr="008F309E">
        <w:rPr>
          <w:lang w:val="fr-FR"/>
        </w:rPr>
        <w:t>)</w:t>
      </w:r>
      <w:r w:rsidR="003C48E2" w:rsidRPr="008F309E">
        <w:rPr>
          <w:lang w:val="fr-FR"/>
        </w:rPr>
        <w:t>. »</w:t>
      </w:r>
    </w:p>
    <w:p w:rsidR="00A21487" w:rsidRPr="008F309E" w:rsidRDefault="003C48E2" w:rsidP="00A21487">
      <w:pPr>
        <w:pStyle w:val="ECHRPara"/>
        <w:rPr>
          <w:lang w:val="fr-FR"/>
        </w:rPr>
      </w:pPr>
      <w:r w:rsidRPr="008F309E">
        <w:rPr>
          <w:lang w:val="fr-FR"/>
        </w:rPr>
        <w:t>L</w:t>
      </w:r>
      <w:r w:rsidR="00162789">
        <w:rPr>
          <w:lang w:val="fr-FR"/>
        </w:rPr>
        <w:t>’</w:t>
      </w:r>
      <w:r w:rsidRPr="008F309E">
        <w:rPr>
          <w:lang w:val="fr-FR"/>
        </w:rPr>
        <w:t xml:space="preserve">article 2 </w:t>
      </w:r>
      <w:r w:rsidR="000C5F2E" w:rsidRPr="008F309E">
        <w:rPr>
          <w:lang w:val="fr-FR"/>
        </w:rPr>
        <w:t xml:space="preserve">§ 1 </w:t>
      </w:r>
      <w:r w:rsidRPr="008F309E">
        <w:rPr>
          <w:lang w:val="fr-FR"/>
        </w:rPr>
        <w:t>du Protocole n</w:t>
      </w:r>
      <w:r w:rsidR="005559D3" w:rsidRPr="005559D3">
        <w:rPr>
          <w:vertAlign w:val="superscript"/>
          <w:lang w:val="fr-FR"/>
        </w:rPr>
        <w:t>o</w:t>
      </w:r>
      <w:r w:rsidRPr="008F309E">
        <w:rPr>
          <w:lang w:val="fr-FR"/>
        </w:rPr>
        <w:t xml:space="preserve"> 7 se lit comme </w:t>
      </w:r>
      <w:r w:rsidR="00A21487" w:rsidRPr="008F309E">
        <w:rPr>
          <w:lang w:val="fr-FR"/>
        </w:rPr>
        <w:t>suit :</w:t>
      </w:r>
    </w:p>
    <w:p w:rsidR="00A21487" w:rsidRPr="008F309E" w:rsidRDefault="00A21487" w:rsidP="00A21487">
      <w:pPr>
        <w:pStyle w:val="ECHRParaQuote"/>
        <w:rPr>
          <w:lang w:val="fr-FR"/>
        </w:rPr>
      </w:pPr>
      <w:r w:rsidRPr="008F309E">
        <w:rPr>
          <w:lang w:val="fr-FR"/>
        </w:rPr>
        <w:t>« 1.  Toute personne déclarée coupable d</w:t>
      </w:r>
      <w:r w:rsidR="00162789">
        <w:rPr>
          <w:lang w:val="fr-FR"/>
        </w:rPr>
        <w:t>’</w:t>
      </w:r>
      <w:r w:rsidRPr="008F309E">
        <w:rPr>
          <w:lang w:val="fr-FR"/>
        </w:rPr>
        <w:t>une infraction pénale par un tribunal a le droit de faire examiner par une juridiction supérieure la déclaration de culpabilité ou la condamnation. L</w:t>
      </w:r>
      <w:r w:rsidR="00162789">
        <w:rPr>
          <w:lang w:val="fr-FR"/>
        </w:rPr>
        <w:t>’</w:t>
      </w:r>
      <w:r w:rsidRPr="008F309E">
        <w:rPr>
          <w:lang w:val="fr-FR"/>
        </w:rPr>
        <w:t>exercice de ce droit, y compris les motifs pour lesquels il peut être exercé, sont régis par la loi.</w:t>
      </w:r>
      <w:r w:rsidR="000C5F2E" w:rsidRPr="008F309E">
        <w:rPr>
          <w:lang w:val="fr-FR"/>
        </w:rPr>
        <w:t> »</w:t>
      </w:r>
    </w:p>
    <w:p w:rsidR="00EA2BEB" w:rsidRPr="008F309E" w:rsidRDefault="00A21487" w:rsidP="00A21487">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57</w:t>
      </w:r>
      <w:r w:rsidRPr="008F309E">
        <w:rPr>
          <w:lang w:val="fr-FR"/>
        </w:rPr>
        <w:fldChar w:fldCharType="end"/>
      </w:r>
      <w:r w:rsidRPr="008F309E">
        <w:rPr>
          <w:lang w:val="fr-FR"/>
        </w:rPr>
        <w:t>.  Le Gouvernement s</w:t>
      </w:r>
      <w:r w:rsidR="00162789">
        <w:rPr>
          <w:lang w:val="fr-FR"/>
        </w:rPr>
        <w:t>’</w:t>
      </w:r>
      <w:r w:rsidRPr="008F309E">
        <w:rPr>
          <w:lang w:val="fr-FR"/>
        </w:rPr>
        <w:t>oppose aux thèses du requérant</w:t>
      </w:r>
      <w:r w:rsidR="000C5F2E" w:rsidRPr="008F309E">
        <w:rPr>
          <w:lang w:val="fr-FR"/>
        </w:rPr>
        <w:t>.</w:t>
      </w:r>
    </w:p>
    <w:p w:rsidR="00EA2BEB" w:rsidRPr="008F309E" w:rsidRDefault="00A21487" w:rsidP="00A21487">
      <w:pPr>
        <w:pStyle w:val="ECHRHeading2"/>
        <w:rPr>
          <w:lang w:val="fr-FR"/>
        </w:rPr>
      </w:pPr>
      <w:r w:rsidRPr="008F309E">
        <w:rPr>
          <w:lang w:val="fr-FR"/>
        </w:rPr>
        <w:t>A</w:t>
      </w:r>
      <w:r w:rsidR="00EA2BEB" w:rsidRPr="008F309E">
        <w:rPr>
          <w:lang w:val="fr-FR"/>
        </w:rPr>
        <w:t>.  Question préliminaire</w:t>
      </w:r>
    </w:p>
    <w:p w:rsidR="005559D3" w:rsidRDefault="00EA2BEB" w:rsidP="00EA2BEB">
      <w:pPr>
        <w:pStyle w:val="ECHRPara"/>
        <w:rPr>
          <w:rStyle w:val="JuParaCar"/>
          <w:lang w:val="fr-FR"/>
        </w:rPr>
      </w:pPr>
      <w:r w:rsidRPr="008F309E">
        <w:rPr>
          <w:rStyle w:val="JuParaCar"/>
          <w:lang w:val="fr-FR"/>
        </w:rPr>
        <w:fldChar w:fldCharType="begin"/>
      </w:r>
      <w:r w:rsidRPr="008F309E">
        <w:rPr>
          <w:rStyle w:val="JuParaCar"/>
          <w:lang w:val="fr-FR"/>
        </w:rPr>
        <w:instrText xml:space="preserve"> SEQ level0 \*arabic </w:instrText>
      </w:r>
      <w:r w:rsidRPr="008F309E">
        <w:rPr>
          <w:rStyle w:val="JuParaCar"/>
          <w:lang w:val="fr-FR"/>
        </w:rPr>
        <w:fldChar w:fldCharType="separate"/>
      </w:r>
      <w:r w:rsidR="0051458B">
        <w:rPr>
          <w:rStyle w:val="JuParaCar"/>
          <w:noProof/>
          <w:lang w:val="fr-FR"/>
        </w:rPr>
        <w:t>58</w:t>
      </w:r>
      <w:r w:rsidRPr="008F309E">
        <w:rPr>
          <w:rStyle w:val="JuParaCar"/>
          <w:lang w:val="fr-FR"/>
        </w:rPr>
        <w:fldChar w:fldCharType="end"/>
      </w:r>
      <w:r w:rsidRPr="008F309E">
        <w:rPr>
          <w:rStyle w:val="JuParaCar"/>
          <w:lang w:val="fr-FR"/>
        </w:rPr>
        <w:t>.  Le Gouvernement excipe tout d</w:t>
      </w:r>
      <w:r w:rsidR="00162789">
        <w:rPr>
          <w:rStyle w:val="JuParaCar"/>
          <w:lang w:val="fr-FR"/>
        </w:rPr>
        <w:t>’</w:t>
      </w:r>
      <w:r w:rsidRPr="008F309E">
        <w:rPr>
          <w:rStyle w:val="JuParaCar"/>
          <w:lang w:val="fr-FR"/>
        </w:rPr>
        <w:t>abord de l</w:t>
      </w:r>
      <w:r w:rsidR="00162789">
        <w:rPr>
          <w:rStyle w:val="JuParaCar"/>
          <w:lang w:val="fr-FR"/>
        </w:rPr>
        <w:t>’</w:t>
      </w:r>
      <w:r w:rsidRPr="008F309E">
        <w:rPr>
          <w:rStyle w:val="JuParaCar"/>
          <w:lang w:val="fr-FR"/>
        </w:rPr>
        <w:t>irrecevabilité des observations du requérant, au motif que le courrier les incluant n</w:t>
      </w:r>
      <w:r w:rsidR="00162789">
        <w:rPr>
          <w:rStyle w:val="JuParaCar"/>
          <w:lang w:val="fr-FR"/>
        </w:rPr>
        <w:t>’</w:t>
      </w:r>
      <w:r w:rsidRPr="008F309E">
        <w:rPr>
          <w:rStyle w:val="JuParaCar"/>
          <w:lang w:val="fr-FR"/>
        </w:rPr>
        <w:t>aurait été reçu par le greffe de la Cour que le 26 novembre</w:t>
      </w:r>
      <w:r w:rsidR="000C5F2E" w:rsidRPr="008F309E">
        <w:rPr>
          <w:rStyle w:val="JuParaCar"/>
          <w:lang w:val="fr-FR"/>
        </w:rPr>
        <w:t xml:space="preserve"> 2014</w:t>
      </w:r>
      <w:r w:rsidRPr="008F309E">
        <w:rPr>
          <w:rStyle w:val="JuParaCar"/>
          <w:lang w:val="fr-FR"/>
        </w:rPr>
        <w:t>, et donc après l</w:t>
      </w:r>
      <w:r w:rsidR="00162789">
        <w:rPr>
          <w:rStyle w:val="JuParaCar"/>
          <w:lang w:val="fr-FR"/>
        </w:rPr>
        <w:t>’</w:t>
      </w:r>
      <w:r w:rsidRPr="008F309E">
        <w:rPr>
          <w:rStyle w:val="JuParaCar"/>
          <w:lang w:val="fr-FR"/>
        </w:rPr>
        <w:t>expiration du délai fixé à cet effet (20 novembre 2014).</w:t>
      </w:r>
    </w:p>
    <w:p w:rsidR="00EA2BEB" w:rsidRPr="008F309E" w:rsidRDefault="000C5F2E" w:rsidP="00EA2BEB">
      <w:pPr>
        <w:pStyle w:val="ECHRPara"/>
        <w:rPr>
          <w:rStyle w:val="JuParaCar"/>
          <w:lang w:val="fr-FR"/>
        </w:rPr>
      </w:pPr>
      <w:r w:rsidRPr="008F309E">
        <w:rPr>
          <w:rStyle w:val="JuParaCar"/>
          <w:lang w:val="fr-FR"/>
        </w:rPr>
        <w:fldChar w:fldCharType="begin"/>
      </w:r>
      <w:r w:rsidRPr="008F309E">
        <w:rPr>
          <w:rStyle w:val="JuParaCar"/>
          <w:lang w:val="fr-FR"/>
        </w:rPr>
        <w:instrText xml:space="preserve"> SEQ level0 \*arabic </w:instrText>
      </w:r>
      <w:r w:rsidRPr="008F309E">
        <w:rPr>
          <w:rStyle w:val="JuParaCar"/>
          <w:lang w:val="fr-FR"/>
        </w:rPr>
        <w:fldChar w:fldCharType="separate"/>
      </w:r>
      <w:r w:rsidR="0051458B">
        <w:rPr>
          <w:rStyle w:val="JuParaCar"/>
          <w:noProof/>
          <w:lang w:val="fr-FR"/>
        </w:rPr>
        <w:t>59</w:t>
      </w:r>
      <w:r w:rsidRPr="008F309E">
        <w:rPr>
          <w:rStyle w:val="JuParaCar"/>
          <w:lang w:val="fr-FR"/>
        </w:rPr>
        <w:fldChar w:fldCharType="end"/>
      </w:r>
      <w:r w:rsidRPr="008F309E">
        <w:rPr>
          <w:rStyle w:val="JuParaCar"/>
          <w:lang w:val="fr-FR"/>
        </w:rPr>
        <w:t>.  </w:t>
      </w:r>
      <w:r w:rsidR="00EA2BEB" w:rsidRPr="008F309E">
        <w:rPr>
          <w:rStyle w:val="JuParaCar"/>
          <w:lang w:val="fr-FR"/>
        </w:rPr>
        <w:t>La Cour relève qu</w:t>
      </w:r>
      <w:r w:rsidR="00162789">
        <w:rPr>
          <w:rStyle w:val="JuParaCar"/>
          <w:lang w:val="fr-FR"/>
        </w:rPr>
        <w:t>’</w:t>
      </w:r>
      <w:r w:rsidR="00EA2BEB" w:rsidRPr="008F309E">
        <w:rPr>
          <w:rStyle w:val="JuParaCar"/>
          <w:lang w:val="fr-FR"/>
        </w:rPr>
        <w:t>il ressort du dossier que le 19</w:t>
      </w:r>
      <w:r w:rsidR="000F1DC0">
        <w:rPr>
          <w:rStyle w:val="JuParaCar"/>
          <w:lang w:val="fr-FR"/>
        </w:rPr>
        <w:t xml:space="preserve"> </w:t>
      </w:r>
      <w:r w:rsidR="00EA2BEB" w:rsidRPr="008F309E">
        <w:rPr>
          <w:rStyle w:val="JuParaCar"/>
          <w:lang w:val="fr-FR"/>
        </w:rPr>
        <w:t xml:space="preserve">novembre 2014, le requérant a fait parvenir au greffe ses observations par télécopie. Dans ces </w:t>
      </w:r>
      <w:r w:rsidR="00EA2BEB" w:rsidRPr="008F309E">
        <w:rPr>
          <w:rStyle w:val="JuParaCar"/>
          <w:lang w:val="fr-FR"/>
        </w:rPr>
        <w:lastRenderedPageBreak/>
        <w:t>conditions, l</w:t>
      </w:r>
      <w:r w:rsidR="00162789">
        <w:rPr>
          <w:rStyle w:val="JuParaCar"/>
          <w:lang w:val="fr-FR"/>
        </w:rPr>
        <w:t>’</w:t>
      </w:r>
      <w:r w:rsidR="00EA2BEB" w:rsidRPr="008F309E">
        <w:rPr>
          <w:rStyle w:val="JuParaCar"/>
          <w:lang w:val="fr-FR"/>
        </w:rPr>
        <w:t>exception soulevée par le Gouvernement ne saurait être retenue.</w:t>
      </w:r>
    </w:p>
    <w:p w:rsidR="00EA2BEB" w:rsidRPr="008F309E" w:rsidRDefault="00A21487" w:rsidP="00A21487">
      <w:pPr>
        <w:pStyle w:val="ECHRHeading2"/>
        <w:rPr>
          <w:lang w:val="fr-FR"/>
        </w:rPr>
      </w:pPr>
      <w:r w:rsidRPr="008F309E">
        <w:rPr>
          <w:lang w:val="fr-FR"/>
        </w:rPr>
        <w:t>B.</w:t>
      </w:r>
      <w:r w:rsidR="00EA2BEB" w:rsidRPr="008F309E">
        <w:rPr>
          <w:lang w:val="fr-FR"/>
        </w:rPr>
        <w:t>  L</w:t>
      </w:r>
      <w:r w:rsidR="00162789">
        <w:rPr>
          <w:lang w:val="fr-FR"/>
        </w:rPr>
        <w:t>’</w:t>
      </w:r>
      <w:r w:rsidR="00EA2BEB" w:rsidRPr="008F309E">
        <w:rPr>
          <w:lang w:val="fr-FR"/>
        </w:rPr>
        <w:t>exception tirée de la tardiveté de la requête</w:t>
      </w:r>
    </w:p>
    <w:p w:rsidR="00EA2BEB" w:rsidRPr="008F309E" w:rsidRDefault="00A21487" w:rsidP="00A21487">
      <w:pPr>
        <w:pStyle w:val="ECHRHeading3"/>
        <w:rPr>
          <w:lang w:val="fr-FR"/>
        </w:rPr>
      </w:pPr>
      <w:r w:rsidRPr="008F309E">
        <w:rPr>
          <w:lang w:val="fr-FR"/>
        </w:rPr>
        <w:t>1.</w:t>
      </w:r>
      <w:r w:rsidR="00EA2BEB" w:rsidRPr="008F309E">
        <w:rPr>
          <w:lang w:val="fr-FR"/>
        </w:rPr>
        <w:t>  L</w:t>
      </w:r>
      <w:r w:rsidR="00162789">
        <w:rPr>
          <w:lang w:val="fr-FR"/>
        </w:rPr>
        <w:t>’</w:t>
      </w:r>
      <w:r w:rsidR="00EA2BEB" w:rsidRPr="008F309E">
        <w:rPr>
          <w:lang w:val="fr-FR"/>
        </w:rPr>
        <w:t>exception du Gouvernement</w:t>
      </w:r>
    </w:p>
    <w:bookmarkStart w:id="34" w:name="exceptiontardivete1"/>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60</w:t>
      </w:r>
      <w:r w:rsidRPr="008F309E">
        <w:rPr>
          <w:lang w:val="fr-FR"/>
        </w:rPr>
        <w:fldChar w:fldCharType="end"/>
      </w:r>
      <w:bookmarkEnd w:id="34"/>
      <w:r w:rsidRPr="008F309E">
        <w:rPr>
          <w:lang w:val="fr-FR"/>
        </w:rPr>
        <w:t>.  Le Gouvernement excipe du dépassement du délai de six mois prévu à l</w:t>
      </w:r>
      <w:r w:rsidR="00162789">
        <w:rPr>
          <w:lang w:val="fr-FR"/>
        </w:rPr>
        <w:t>’</w:t>
      </w:r>
      <w:r w:rsidRPr="008F309E">
        <w:rPr>
          <w:lang w:val="fr-FR"/>
        </w:rPr>
        <w:t xml:space="preserve">article 35 § 1 de la Convention. Il observe que ce délai commence à courir </w:t>
      </w:r>
      <w:r w:rsidR="000C5F2E" w:rsidRPr="008F309E">
        <w:rPr>
          <w:lang w:val="fr-FR"/>
        </w:rPr>
        <w:t xml:space="preserve">à partir </w:t>
      </w:r>
      <w:r w:rsidRPr="008F309E">
        <w:rPr>
          <w:lang w:val="fr-FR"/>
        </w:rPr>
        <w:t>de la</w:t>
      </w:r>
      <w:r w:rsidR="000C5F2E" w:rsidRPr="008F309E">
        <w:rPr>
          <w:lang w:val="fr-FR"/>
        </w:rPr>
        <w:t xml:space="preserve"> date de</w:t>
      </w:r>
      <w:r w:rsidRPr="008F309E">
        <w:rPr>
          <w:lang w:val="fr-FR"/>
        </w:rPr>
        <w:t xml:space="preserve"> décision interne définitive ; cependant, </w:t>
      </w:r>
      <w:r w:rsidR="004024B0" w:rsidRPr="008F309E">
        <w:rPr>
          <w:lang w:val="fr-FR"/>
        </w:rPr>
        <w:t>dans le cadre de l</w:t>
      </w:r>
      <w:r w:rsidR="00162789">
        <w:rPr>
          <w:lang w:val="fr-FR"/>
        </w:rPr>
        <w:t>’</w:t>
      </w:r>
      <w:r w:rsidR="004024B0" w:rsidRPr="008F309E">
        <w:rPr>
          <w:lang w:val="fr-FR"/>
        </w:rPr>
        <w:t xml:space="preserve">examen de </w:t>
      </w:r>
      <w:r w:rsidRPr="008F309E">
        <w:rPr>
          <w:lang w:val="fr-FR"/>
        </w:rPr>
        <w:t>l</w:t>
      </w:r>
      <w:r w:rsidR="00162789">
        <w:rPr>
          <w:lang w:val="fr-FR"/>
        </w:rPr>
        <w:t>’</w:t>
      </w:r>
      <w:r w:rsidRPr="008F309E">
        <w:rPr>
          <w:lang w:val="fr-FR"/>
        </w:rPr>
        <w:t xml:space="preserve">épuisement des voies de recours internes, la Cour ne devrait prendre en considération que les </w:t>
      </w:r>
      <w:r w:rsidR="004501B5" w:rsidRPr="008F309E">
        <w:rPr>
          <w:lang w:val="fr-FR"/>
        </w:rPr>
        <w:t>recours</w:t>
      </w:r>
      <w:r w:rsidRPr="008F309E">
        <w:rPr>
          <w:lang w:val="fr-FR"/>
        </w:rPr>
        <w:t xml:space="preserve"> ordinaires, les </w:t>
      </w:r>
      <w:r w:rsidRPr="00BA56DD">
        <w:rPr>
          <w:lang w:val="fr-FR"/>
        </w:rPr>
        <w:t>remèdes</w:t>
      </w:r>
      <w:r w:rsidRPr="008F309E">
        <w:rPr>
          <w:lang w:val="fr-FR"/>
        </w:rPr>
        <w:t xml:space="preserve"> extraordinaires et/ou pour l</w:t>
      </w:r>
      <w:r w:rsidR="00162789">
        <w:rPr>
          <w:lang w:val="fr-FR"/>
        </w:rPr>
        <w:t>’</w:t>
      </w:r>
      <w:r w:rsidRPr="008F309E">
        <w:rPr>
          <w:lang w:val="fr-FR"/>
        </w:rPr>
        <w:t>introduction desquels aucun délai contraignant n</w:t>
      </w:r>
      <w:r w:rsidR="00162789">
        <w:rPr>
          <w:lang w:val="fr-FR"/>
        </w:rPr>
        <w:t>’</w:t>
      </w:r>
      <w:r w:rsidRPr="008F309E">
        <w:rPr>
          <w:lang w:val="fr-FR"/>
        </w:rPr>
        <w:t>est fixé n</w:t>
      </w:r>
      <w:r w:rsidR="00162789">
        <w:rPr>
          <w:lang w:val="fr-FR"/>
        </w:rPr>
        <w:t>’</w:t>
      </w:r>
      <w:r w:rsidRPr="008F309E">
        <w:rPr>
          <w:lang w:val="fr-FR"/>
        </w:rPr>
        <w:t xml:space="preserve">entrant pas en ligne des comptes (voir, notamment, </w:t>
      </w:r>
      <w:r w:rsidR="00401C3C">
        <w:rPr>
          <w:i/>
          <w:lang w:val="fr-FR"/>
        </w:rPr>
        <w:t>Williams c. </w:t>
      </w:r>
      <w:r w:rsidRPr="008F309E">
        <w:rPr>
          <w:i/>
          <w:lang w:val="fr-FR"/>
        </w:rPr>
        <w:t xml:space="preserve">Royaume-Uni </w:t>
      </w:r>
      <w:r w:rsidRPr="008F309E">
        <w:rPr>
          <w:lang w:val="fr-FR"/>
        </w:rPr>
        <w:t>(déc.), n</w:t>
      </w:r>
      <w:r w:rsidR="005559D3" w:rsidRPr="005559D3">
        <w:rPr>
          <w:vertAlign w:val="superscript"/>
          <w:lang w:val="fr-FR"/>
        </w:rPr>
        <w:t>o</w:t>
      </w:r>
      <w:r w:rsidRPr="008F309E">
        <w:rPr>
          <w:lang w:val="fr-FR"/>
        </w:rPr>
        <w:t xml:space="preserve"> 32567/06, 17 février 2009).</w:t>
      </w:r>
    </w:p>
    <w:bookmarkStart w:id="35" w:name="incidenteecutionnonadequat"/>
    <w:p w:rsidR="005559D3"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61</w:t>
      </w:r>
      <w:r w:rsidRPr="008F309E">
        <w:rPr>
          <w:lang w:val="fr-FR"/>
        </w:rPr>
        <w:fldChar w:fldCharType="end"/>
      </w:r>
      <w:bookmarkEnd w:id="35"/>
      <w:r w:rsidRPr="008F309E">
        <w:rPr>
          <w:lang w:val="fr-FR"/>
        </w:rPr>
        <w:t>.  En l</w:t>
      </w:r>
      <w:r w:rsidR="00162789">
        <w:rPr>
          <w:lang w:val="fr-FR"/>
        </w:rPr>
        <w:t>’</w:t>
      </w:r>
      <w:r w:rsidRPr="008F309E">
        <w:rPr>
          <w:lang w:val="fr-FR"/>
        </w:rPr>
        <w:t>espèce, la décision interne définitive serait l</w:t>
      </w:r>
      <w:r w:rsidR="00162789">
        <w:rPr>
          <w:lang w:val="fr-FR"/>
        </w:rPr>
        <w:t>’</w:t>
      </w:r>
      <w:r w:rsidRPr="008F309E">
        <w:rPr>
          <w:lang w:val="fr-FR"/>
        </w:rPr>
        <w:t xml:space="preserve">arrêt de la Cour de cassation du 3 juillet 2000 (paragraphe </w:t>
      </w:r>
      <w:r w:rsidR="007501D0">
        <w:rPr>
          <w:noProof/>
          <w:lang w:val="fr-FR"/>
        </w:rPr>
        <w:t>23</w:t>
      </w:r>
      <w:r w:rsidRPr="008F309E">
        <w:rPr>
          <w:lang w:val="fr-FR"/>
        </w:rPr>
        <w:t xml:space="preserve"> ci-dessus). L</w:t>
      </w:r>
      <w:r w:rsidR="00162789">
        <w:rPr>
          <w:lang w:val="fr-FR"/>
        </w:rPr>
        <w:t>’</w:t>
      </w:r>
      <w:r w:rsidRPr="008F309E">
        <w:rPr>
          <w:lang w:val="fr-FR"/>
        </w:rPr>
        <w:t>incident d</w:t>
      </w:r>
      <w:r w:rsidR="00162789">
        <w:rPr>
          <w:lang w:val="fr-FR"/>
        </w:rPr>
        <w:t>’</w:t>
      </w:r>
      <w:r w:rsidRPr="008F309E">
        <w:rPr>
          <w:lang w:val="fr-FR"/>
        </w:rPr>
        <w:t xml:space="preserve">exécution introduit par le requérant (paragraphe </w:t>
      </w:r>
      <w:r w:rsidR="007501D0">
        <w:rPr>
          <w:noProof/>
          <w:lang w:val="fr-FR"/>
        </w:rPr>
        <w:t>25</w:t>
      </w:r>
      <w:r w:rsidRPr="008F309E">
        <w:rPr>
          <w:lang w:val="fr-FR"/>
        </w:rPr>
        <w:t xml:space="preserve"> ci-dessus), serait un </w:t>
      </w:r>
      <w:r w:rsidR="001067ED" w:rsidRPr="008F309E">
        <w:rPr>
          <w:lang w:val="fr-FR"/>
        </w:rPr>
        <w:t>recours</w:t>
      </w:r>
      <w:r w:rsidRPr="008F309E">
        <w:rPr>
          <w:lang w:val="fr-FR"/>
        </w:rPr>
        <w:t xml:space="preserve"> extraordinaire contre les décisions </w:t>
      </w:r>
      <w:r w:rsidR="000C5F2E" w:rsidRPr="008F309E">
        <w:rPr>
          <w:lang w:val="fr-FR"/>
        </w:rPr>
        <w:t>définitives</w:t>
      </w:r>
      <w:r w:rsidRPr="008F309E">
        <w:rPr>
          <w:lang w:val="fr-FR"/>
        </w:rPr>
        <w:t xml:space="preserve"> pouvant être tenté à tout moment. De plus, il était inefficace et ne présentait aucune chance de succès dans les circonstances particulières de l</w:t>
      </w:r>
      <w:r w:rsidR="00162789">
        <w:rPr>
          <w:lang w:val="fr-FR"/>
        </w:rPr>
        <w:t>’</w:t>
      </w:r>
      <w:r w:rsidRPr="008F309E">
        <w:rPr>
          <w:lang w:val="fr-FR"/>
        </w:rPr>
        <w:t>espèce, car il vise à remédier toute irrégularité s</w:t>
      </w:r>
      <w:r w:rsidR="00162789">
        <w:rPr>
          <w:lang w:val="fr-FR"/>
        </w:rPr>
        <w:t>’</w:t>
      </w:r>
      <w:r w:rsidRPr="008F309E">
        <w:rPr>
          <w:lang w:val="fr-FR"/>
        </w:rPr>
        <w:t>étant vérifiée dans la phase de l</w:t>
      </w:r>
      <w:r w:rsidR="00162789">
        <w:rPr>
          <w:lang w:val="fr-FR"/>
        </w:rPr>
        <w:t>’</w:t>
      </w:r>
      <w:r w:rsidRPr="008F309E">
        <w:rPr>
          <w:lang w:val="fr-FR"/>
        </w:rPr>
        <w:t>exécution, et non pendant le procès.</w:t>
      </w:r>
    </w:p>
    <w:p w:rsidR="005559D3"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62</w:t>
      </w:r>
      <w:r w:rsidRPr="008F309E">
        <w:rPr>
          <w:lang w:val="fr-FR"/>
        </w:rPr>
        <w:fldChar w:fldCharType="end"/>
      </w:r>
      <w:r w:rsidRPr="008F309E">
        <w:rPr>
          <w:lang w:val="fr-FR"/>
        </w:rPr>
        <w:t>.  Le Gouvernement note que, l</w:t>
      </w:r>
      <w:r w:rsidR="00162789">
        <w:rPr>
          <w:lang w:val="fr-FR"/>
        </w:rPr>
        <w:t>’</w:t>
      </w:r>
      <w:r w:rsidRPr="008F309E">
        <w:rPr>
          <w:lang w:val="fr-FR"/>
        </w:rPr>
        <w:t>incident d</w:t>
      </w:r>
      <w:r w:rsidR="00162789">
        <w:rPr>
          <w:lang w:val="fr-FR"/>
        </w:rPr>
        <w:t>’</w:t>
      </w:r>
      <w:r w:rsidRPr="008F309E">
        <w:rPr>
          <w:lang w:val="fr-FR"/>
        </w:rPr>
        <w:t>exécution n</w:t>
      </w:r>
      <w:r w:rsidR="00162789">
        <w:rPr>
          <w:lang w:val="fr-FR"/>
        </w:rPr>
        <w:t>’</w:t>
      </w:r>
      <w:r w:rsidRPr="008F309E">
        <w:rPr>
          <w:lang w:val="fr-FR"/>
        </w:rPr>
        <w:t xml:space="preserve">étant soumis à aucun délai contraignant, le requérant a attendu plus de sept ans après sa condamnation définitive pour le tenter. Ce long délai </w:t>
      </w:r>
      <w:r w:rsidR="00772968" w:rsidRPr="008F309E">
        <w:rPr>
          <w:lang w:val="fr-FR"/>
        </w:rPr>
        <w:t>démontrerait</w:t>
      </w:r>
      <w:r w:rsidRPr="008F309E">
        <w:rPr>
          <w:lang w:val="fr-FR"/>
        </w:rPr>
        <w:t xml:space="preserve"> un manque de diligence de la part du requérant</w:t>
      </w:r>
      <w:r w:rsidR="000C5F2E" w:rsidRPr="008F309E">
        <w:rPr>
          <w:lang w:val="fr-FR"/>
        </w:rPr>
        <w:t>.</w:t>
      </w:r>
    </w:p>
    <w:bookmarkStart w:id="36" w:name="exceptiontardivetefine"/>
    <w:p w:rsidR="00EA2BEB" w:rsidRPr="008F309E" w:rsidRDefault="000C5F2E"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63</w:t>
      </w:r>
      <w:r w:rsidRPr="008F309E">
        <w:rPr>
          <w:lang w:val="fr-FR"/>
        </w:rPr>
        <w:fldChar w:fldCharType="end"/>
      </w:r>
      <w:bookmarkEnd w:id="36"/>
      <w:r w:rsidRPr="008F309E">
        <w:rPr>
          <w:lang w:val="fr-FR"/>
        </w:rPr>
        <w:t>.  </w:t>
      </w:r>
      <w:r w:rsidR="00EA2BEB" w:rsidRPr="008F309E">
        <w:rPr>
          <w:lang w:val="fr-FR"/>
        </w:rPr>
        <w:t>L</w:t>
      </w:r>
      <w:r w:rsidR="00162789">
        <w:rPr>
          <w:lang w:val="fr-FR"/>
        </w:rPr>
        <w:t>’</w:t>
      </w:r>
      <w:r w:rsidR="00EA2BEB" w:rsidRPr="008F309E">
        <w:rPr>
          <w:lang w:val="fr-FR"/>
        </w:rPr>
        <w:t>incident d</w:t>
      </w:r>
      <w:r w:rsidR="00162789">
        <w:rPr>
          <w:lang w:val="fr-FR"/>
        </w:rPr>
        <w:t>’</w:t>
      </w:r>
      <w:r w:rsidR="00EA2BEB" w:rsidRPr="008F309E">
        <w:rPr>
          <w:lang w:val="fr-FR"/>
        </w:rPr>
        <w:t>exécution ne pouvant pas être pris en compte pour les raisons indiquées ci-dessus, le point de départ du délai de six mois devrait être fixé au 12</w:t>
      </w:r>
      <w:r w:rsidR="000F1DC0">
        <w:rPr>
          <w:lang w:val="fr-FR"/>
        </w:rPr>
        <w:t xml:space="preserve"> </w:t>
      </w:r>
      <w:r w:rsidR="00EA2BEB" w:rsidRPr="008F309E">
        <w:rPr>
          <w:lang w:val="fr-FR"/>
        </w:rPr>
        <w:t>septembre 2000, date de dépôt au greffe de l</w:t>
      </w:r>
      <w:r w:rsidR="00162789">
        <w:rPr>
          <w:lang w:val="fr-FR"/>
        </w:rPr>
        <w:t>’</w:t>
      </w:r>
      <w:r w:rsidR="00EA2BEB" w:rsidRPr="008F309E">
        <w:rPr>
          <w:lang w:val="fr-FR"/>
        </w:rPr>
        <w:t xml:space="preserve">arrêt de la Cour de cassation du 3 juillet 2000 (paragraphe </w:t>
      </w:r>
      <w:r w:rsidR="007501D0">
        <w:rPr>
          <w:noProof/>
          <w:lang w:val="fr-FR"/>
        </w:rPr>
        <w:t>23</w:t>
      </w:r>
      <w:r w:rsidR="00EA2BEB" w:rsidRPr="008F309E">
        <w:rPr>
          <w:lang w:val="fr-FR"/>
        </w:rPr>
        <w:t xml:space="preserve"> ci-dessus), ou, au plus tard, lors de l</w:t>
      </w:r>
      <w:r w:rsidR="00162789">
        <w:rPr>
          <w:lang w:val="fr-FR"/>
        </w:rPr>
        <w:t>’</w:t>
      </w:r>
      <w:r w:rsidR="00EA2BEB" w:rsidRPr="008F309E">
        <w:rPr>
          <w:lang w:val="fr-FR"/>
        </w:rPr>
        <w:t>extradition du requérant vers l</w:t>
      </w:r>
      <w:r w:rsidR="00162789">
        <w:rPr>
          <w:lang w:val="fr-FR"/>
        </w:rPr>
        <w:t>’</w:t>
      </w:r>
      <w:r w:rsidR="00EA2BEB" w:rsidRPr="008F309E">
        <w:rPr>
          <w:lang w:val="fr-FR"/>
        </w:rPr>
        <w:t xml:space="preserve">Italie, survenue le 11 avril 2001 (paragraphe </w:t>
      </w:r>
      <w:r w:rsidR="007501D0">
        <w:rPr>
          <w:noProof/>
          <w:lang w:val="fr-FR"/>
        </w:rPr>
        <w:t>10</w:t>
      </w:r>
      <w:r w:rsidR="00EA2BEB" w:rsidRPr="008F309E">
        <w:rPr>
          <w:lang w:val="fr-FR"/>
        </w:rPr>
        <w:t xml:space="preserve"> ci-dessus). Partant, la requête, introduite en 2009, serait manifestement tardive.</w:t>
      </w:r>
    </w:p>
    <w:p w:rsidR="00EA2BEB" w:rsidRPr="008F309E" w:rsidRDefault="00A21487" w:rsidP="00A21487">
      <w:pPr>
        <w:pStyle w:val="ECHRHeading3"/>
        <w:rPr>
          <w:lang w:val="fr-FR"/>
        </w:rPr>
      </w:pPr>
      <w:r w:rsidRPr="008F309E">
        <w:rPr>
          <w:lang w:val="fr-FR"/>
        </w:rPr>
        <w:t>2.</w:t>
      </w:r>
      <w:r w:rsidR="00EA2BEB" w:rsidRPr="008F309E">
        <w:rPr>
          <w:lang w:val="fr-FR"/>
        </w:rPr>
        <w:t>  La réplique du requérant</w:t>
      </w:r>
    </w:p>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64</w:t>
      </w:r>
      <w:r w:rsidRPr="008F309E">
        <w:rPr>
          <w:lang w:val="fr-FR"/>
        </w:rPr>
        <w:fldChar w:fldCharType="end"/>
      </w:r>
      <w:r w:rsidRPr="008F309E">
        <w:rPr>
          <w:lang w:val="fr-FR"/>
        </w:rPr>
        <w:t>.  Le requérant s</w:t>
      </w:r>
      <w:r w:rsidR="00162789">
        <w:rPr>
          <w:lang w:val="fr-FR"/>
        </w:rPr>
        <w:t>’</w:t>
      </w:r>
      <w:r w:rsidRPr="008F309E">
        <w:rPr>
          <w:lang w:val="fr-FR"/>
        </w:rPr>
        <w:t xml:space="preserve">oppose à la thèse du Gouvernement et </w:t>
      </w:r>
      <w:r w:rsidR="00664845" w:rsidRPr="008F309E">
        <w:rPr>
          <w:lang w:val="fr-FR"/>
        </w:rPr>
        <w:t xml:space="preserve">affirme </w:t>
      </w:r>
      <w:r w:rsidRPr="008F309E">
        <w:rPr>
          <w:lang w:val="fr-FR"/>
        </w:rPr>
        <w:t>s</w:t>
      </w:r>
      <w:r w:rsidR="00162789">
        <w:rPr>
          <w:lang w:val="fr-FR"/>
        </w:rPr>
        <w:t>’</w:t>
      </w:r>
      <w:r w:rsidR="00664845" w:rsidRPr="008F309E">
        <w:rPr>
          <w:lang w:val="fr-FR"/>
        </w:rPr>
        <w:t>être</w:t>
      </w:r>
      <w:r w:rsidRPr="008F309E">
        <w:rPr>
          <w:lang w:val="fr-FR"/>
        </w:rPr>
        <w:t xml:space="preserve"> prévalu du seul recours – l</w:t>
      </w:r>
      <w:r w:rsidR="00162789">
        <w:rPr>
          <w:lang w:val="fr-FR"/>
        </w:rPr>
        <w:t>’</w:t>
      </w:r>
      <w:r w:rsidRPr="008F309E">
        <w:rPr>
          <w:lang w:val="fr-FR"/>
        </w:rPr>
        <w:t>incident d</w:t>
      </w:r>
      <w:r w:rsidR="00162789">
        <w:rPr>
          <w:lang w:val="fr-FR"/>
        </w:rPr>
        <w:t>’</w:t>
      </w:r>
      <w:r w:rsidRPr="008F309E">
        <w:rPr>
          <w:lang w:val="fr-FR"/>
        </w:rPr>
        <w:t xml:space="preserve">exécution </w:t>
      </w:r>
      <w:r w:rsidR="00772968" w:rsidRPr="008F309E">
        <w:rPr>
          <w:lang w:val="fr-FR"/>
        </w:rPr>
        <w:t>fondé sur</w:t>
      </w:r>
      <w:r w:rsidRPr="008F309E">
        <w:rPr>
          <w:lang w:val="fr-FR"/>
        </w:rPr>
        <w:t xml:space="preserve"> l</w:t>
      </w:r>
      <w:r w:rsidR="00162789">
        <w:rPr>
          <w:lang w:val="fr-FR"/>
        </w:rPr>
        <w:t>’</w:t>
      </w:r>
      <w:r w:rsidRPr="008F309E">
        <w:rPr>
          <w:lang w:val="fr-FR"/>
        </w:rPr>
        <w:t>article</w:t>
      </w:r>
      <w:r w:rsidR="000F1DC0">
        <w:rPr>
          <w:lang w:val="fr-FR"/>
        </w:rPr>
        <w:t xml:space="preserve"> </w:t>
      </w:r>
      <w:r w:rsidRPr="008F309E">
        <w:rPr>
          <w:lang w:val="fr-FR"/>
        </w:rPr>
        <w:t>670 du CPP – qui pouvait empêcher l</w:t>
      </w:r>
      <w:r w:rsidR="00162789">
        <w:rPr>
          <w:lang w:val="fr-FR"/>
        </w:rPr>
        <w:t>’</w:t>
      </w:r>
      <w:r w:rsidRPr="008F309E">
        <w:rPr>
          <w:lang w:val="fr-FR"/>
        </w:rPr>
        <w:t xml:space="preserve">exécution de </w:t>
      </w:r>
      <w:r w:rsidR="00664845" w:rsidRPr="008F309E">
        <w:rPr>
          <w:lang w:val="fr-FR"/>
        </w:rPr>
        <w:t>s</w:t>
      </w:r>
      <w:r w:rsidRPr="008F309E">
        <w:rPr>
          <w:lang w:val="fr-FR"/>
        </w:rPr>
        <w:t>a condamnation et permettre la réouverture de son procès. Dans ces circonstances, la « décision interne définitive » concernant l</w:t>
      </w:r>
      <w:r w:rsidR="00162789">
        <w:rPr>
          <w:lang w:val="fr-FR"/>
        </w:rPr>
        <w:t>’</w:t>
      </w:r>
      <w:r w:rsidRPr="008F309E">
        <w:rPr>
          <w:lang w:val="fr-FR"/>
        </w:rPr>
        <w:t xml:space="preserve">affaire du requérant </w:t>
      </w:r>
      <w:r w:rsidR="00F0214B" w:rsidRPr="008F309E">
        <w:rPr>
          <w:lang w:val="fr-FR"/>
        </w:rPr>
        <w:t>serait</w:t>
      </w:r>
      <w:r w:rsidRPr="008F309E">
        <w:rPr>
          <w:lang w:val="fr-FR"/>
        </w:rPr>
        <w:t xml:space="preserve"> l</w:t>
      </w:r>
      <w:r w:rsidR="00162789">
        <w:rPr>
          <w:lang w:val="fr-FR"/>
        </w:rPr>
        <w:t>’</w:t>
      </w:r>
      <w:r w:rsidRPr="008F309E">
        <w:rPr>
          <w:lang w:val="fr-FR"/>
        </w:rPr>
        <w:t>arrêt du 26</w:t>
      </w:r>
      <w:r w:rsidR="000F1DC0">
        <w:rPr>
          <w:lang w:val="fr-FR"/>
        </w:rPr>
        <w:t xml:space="preserve"> </w:t>
      </w:r>
      <w:r w:rsidRPr="008F309E">
        <w:rPr>
          <w:lang w:val="fr-FR"/>
        </w:rPr>
        <w:t xml:space="preserve">novembre 2008, dont le texte </w:t>
      </w:r>
      <w:r w:rsidR="008C165E" w:rsidRPr="008F309E">
        <w:rPr>
          <w:lang w:val="fr-FR"/>
        </w:rPr>
        <w:t>a été</w:t>
      </w:r>
      <w:r w:rsidRPr="008F309E">
        <w:rPr>
          <w:lang w:val="fr-FR"/>
        </w:rPr>
        <w:t xml:space="preserve"> déposé au greffe le 3</w:t>
      </w:r>
      <w:r w:rsidR="000F1DC0">
        <w:rPr>
          <w:lang w:val="fr-FR"/>
        </w:rPr>
        <w:t xml:space="preserve"> </w:t>
      </w:r>
      <w:r w:rsidRPr="008F309E">
        <w:rPr>
          <w:lang w:val="fr-FR"/>
        </w:rPr>
        <w:t>février 2009, par lequel la Cour de cassation a confirmé le rejet de l</w:t>
      </w:r>
      <w:r w:rsidR="00162789">
        <w:rPr>
          <w:lang w:val="fr-FR"/>
        </w:rPr>
        <w:t>’</w:t>
      </w:r>
      <w:r w:rsidRPr="008F309E">
        <w:rPr>
          <w:lang w:val="fr-FR"/>
        </w:rPr>
        <w:t>incident d</w:t>
      </w:r>
      <w:r w:rsidR="00162789">
        <w:rPr>
          <w:lang w:val="fr-FR"/>
        </w:rPr>
        <w:t>’</w:t>
      </w:r>
      <w:r w:rsidRPr="008F309E">
        <w:rPr>
          <w:lang w:val="fr-FR"/>
        </w:rPr>
        <w:t>exécution (paragraphe</w:t>
      </w:r>
      <w:r w:rsidR="004F04A2" w:rsidRPr="008F309E">
        <w:rPr>
          <w:lang w:val="fr-FR"/>
        </w:rPr>
        <w:t> </w:t>
      </w:r>
      <w:r w:rsidR="007501D0">
        <w:rPr>
          <w:noProof/>
          <w:lang w:val="fr-FR"/>
        </w:rPr>
        <w:t>32</w:t>
      </w:r>
      <w:r w:rsidRPr="008F309E">
        <w:rPr>
          <w:lang w:val="fr-FR"/>
        </w:rPr>
        <w:t xml:space="preserve"> ci-dessus).</w:t>
      </w:r>
    </w:p>
    <w:p w:rsidR="00EA2BEB" w:rsidRPr="008F309E" w:rsidRDefault="00EA2BEB" w:rsidP="00C84519">
      <w:pPr>
        <w:pStyle w:val="ECHRPara"/>
        <w:rPr>
          <w:lang w:val="fr-FR"/>
        </w:rPr>
      </w:pPr>
      <w:r w:rsidRPr="008F309E">
        <w:rPr>
          <w:lang w:val="fr-FR"/>
        </w:rPr>
        <w:lastRenderedPageBreak/>
        <w:fldChar w:fldCharType="begin"/>
      </w:r>
      <w:r w:rsidRPr="008F309E">
        <w:rPr>
          <w:lang w:val="fr-FR"/>
        </w:rPr>
        <w:instrText xml:space="preserve"> SEQ level0 \*arabic </w:instrText>
      </w:r>
      <w:r w:rsidRPr="008F309E">
        <w:rPr>
          <w:lang w:val="fr-FR"/>
        </w:rPr>
        <w:fldChar w:fldCharType="separate"/>
      </w:r>
      <w:r w:rsidR="0051458B">
        <w:rPr>
          <w:noProof/>
          <w:lang w:val="fr-FR"/>
        </w:rPr>
        <w:t>65</w:t>
      </w:r>
      <w:r w:rsidRPr="008F309E">
        <w:rPr>
          <w:lang w:val="fr-FR"/>
        </w:rPr>
        <w:fldChar w:fldCharType="end"/>
      </w:r>
      <w:r w:rsidRPr="008F309E">
        <w:rPr>
          <w:lang w:val="fr-FR"/>
        </w:rPr>
        <w:t>.  Le requérant soutient, en revanche, que dans son cas une demande en relèvement de forclusion n</w:t>
      </w:r>
      <w:r w:rsidR="00162789">
        <w:rPr>
          <w:lang w:val="fr-FR"/>
        </w:rPr>
        <w:t>’</w:t>
      </w:r>
      <w:r w:rsidRPr="008F309E">
        <w:rPr>
          <w:lang w:val="fr-FR"/>
        </w:rPr>
        <w:t xml:space="preserve">était pas un </w:t>
      </w:r>
      <w:r w:rsidR="004E47E5" w:rsidRPr="008F309E">
        <w:rPr>
          <w:lang w:val="fr-FR"/>
        </w:rPr>
        <w:t>recours</w:t>
      </w:r>
      <w:r w:rsidRPr="008F309E">
        <w:rPr>
          <w:lang w:val="fr-FR"/>
        </w:rPr>
        <w:t xml:space="preserve"> effectif. En effet, une telle demande aurait été destinée à être déclarée irrecevable car un appel avait été interjeté par son avocat contre sa condamnation e</w:t>
      </w:r>
      <w:r w:rsidR="008C165E" w:rsidRPr="008F309E">
        <w:rPr>
          <w:lang w:val="fr-FR"/>
        </w:rPr>
        <w:t>n</w:t>
      </w:r>
      <w:r w:rsidRPr="008F309E">
        <w:rPr>
          <w:lang w:val="fr-FR"/>
        </w:rPr>
        <w:t xml:space="preserve"> première instance. Cet obstacle procédural n</w:t>
      </w:r>
      <w:r w:rsidR="00162789">
        <w:rPr>
          <w:lang w:val="fr-FR"/>
        </w:rPr>
        <w:t>’</w:t>
      </w:r>
      <w:r w:rsidRPr="008F309E">
        <w:rPr>
          <w:lang w:val="fr-FR"/>
        </w:rPr>
        <w:t>a été éliminé que par l</w:t>
      </w:r>
      <w:r w:rsidR="00162789">
        <w:rPr>
          <w:lang w:val="fr-FR"/>
        </w:rPr>
        <w:t>’</w:t>
      </w:r>
      <w:r w:rsidRPr="008F309E">
        <w:rPr>
          <w:lang w:val="fr-FR"/>
        </w:rPr>
        <w:t>arrêt de la Cour constitutionnelle n</w:t>
      </w:r>
      <w:r w:rsidR="005559D3" w:rsidRPr="005559D3">
        <w:rPr>
          <w:vertAlign w:val="superscript"/>
          <w:lang w:val="fr-FR"/>
        </w:rPr>
        <w:t>o</w:t>
      </w:r>
      <w:r w:rsidRPr="008F309E">
        <w:rPr>
          <w:lang w:val="fr-FR"/>
        </w:rPr>
        <w:t xml:space="preserve"> 317 du 30 novembre 2009 (paragraphe </w:t>
      </w:r>
      <w:r w:rsidR="007501D0">
        <w:rPr>
          <w:noProof/>
          <w:lang w:val="fr-FR"/>
        </w:rPr>
        <w:t>33</w:t>
      </w:r>
      <w:r w:rsidRPr="008F309E">
        <w:rPr>
          <w:lang w:val="fr-FR"/>
        </w:rPr>
        <w:t xml:space="preserve"> ci-dessus), non encore prononcé au moment de l</w:t>
      </w:r>
      <w:r w:rsidR="00162789">
        <w:rPr>
          <w:lang w:val="fr-FR"/>
        </w:rPr>
        <w:t>’</w:t>
      </w:r>
      <w:r w:rsidRPr="008F309E">
        <w:rPr>
          <w:lang w:val="fr-FR"/>
        </w:rPr>
        <w:t>int</w:t>
      </w:r>
      <w:r w:rsidR="009A795C">
        <w:rPr>
          <w:lang w:val="fr-FR"/>
        </w:rPr>
        <w:t xml:space="preserve">roduction de sa requête (25 mai </w:t>
      </w:r>
      <w:r w:rsidRPr="008F309E">
        <w:rPr>
          <w:lang w:val="fr-FR"/>
        </w:rPr>
        <w:t>2009).</w:t>
      </w:r>
    </w:p>
    <w:p w:rsidR="00401C3C" w:rsidRPr="008F309E" w:rsidRDefault="00401C3C" w:rsidP="00401C3C">
      <w:pPr>
        <w:pStyle w:val="ECHRHeading3"/>
        <w:rPr>
          <w:lang w:val="fr-FR"/>
        </w:rPr>
      </w:pPr>
      <w:r w:rsidRPr="008F309E">
        <w:rPr>
          <w:lang w:val="fr-FR"/>
        </w:rPr>
        <w:t>3.  L</w:t>
      </w:r>
      <w:r w:rsidR="00162789">
        <w:rPr>
          <w:lang w:val="fr-FR"/>
        </w:rPr>
        <w:t>’</w:t>
      </w:r>
      <w:r w:rsidRPr="008F309E">
        <w:rPr>
          <w:lang w:val="fr-FR"/>
        </w:rPr>
        <w:t>appréciation de la Cour</w:t>
      </w:r>
    </w:p>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66</w:t>
      </w:r>
      <w:r w:rsidRPr="008F309E">
        <w:rPr>
          <w:lang w:val="fr-FR"/>
        </w:rPr>
        <w:fldChar w:fldCharType="end"/>
      </w:r>
      <w:r w:rsidRPr="008F309E">
        <w:rPr>
          <w:lang w:val="fr-FR"/>
        </w:rPr>
        <w:t>.  </w:t>
      </w:r>
      <w:r w:rsidR="00A21487" w:rsidRPr="008F309E">
        <w:rPr>
          <w:lang w:val="fr-FR"/>
        </w:rPr>
        <w:t>La Cour estime que dans les circonstances particulières de la présente affaire, il n</w:t>
      </w:r>
      <w:r w:rsidR="00162789">
        <w:rPr>
          <w:lang w:val="fr-FR"/>
        </w:rPr>
        <w:t>’</w:t>
      </w:r>
      <w:r w:rsidR="00A21487" w:rsidRPr="008F309E">
        <w:rPr>
          <w:lang w:val="fr-FR"/>
        </w:rPr>
        <w:t>est pas nécessaire de se pencher sur la question de savoir s</w:t>
      </w:r>
      <w:r w:rsidR="00162789">
        <w:rPr>
          <w:lang w:val="fr-FR"/>
        </w:rPr>
        <w:t>’</w:t>
      </w:r>
      <w:r w:rsidR="00A21487" w:rsidRPr="008F309E">
        <w:rPr>
          <w:lang w:val="fr-FR"/>
        </w:rPr>
        <w:t>il y a eu, en l</w:t>
      </w:r>
      <w:r w:rsidR="00162789">
        <w:rPr>
          <w:lang w:val="fr-FR"/>
        </w:rPr>
        <w:t>’</w:t>
      </w:r>
      <w:r w:rsidR="00A21487" w:rsidRPr="008F309E">
        <w:rPr>
          <w:lang w:val="fr-FR"/>
        </w:rPr>
        <w:t>espèce, dépassement du délai de six mois prévu à l</w:t>
      </w:r>
      <w:r w:rsidR="00162789">
        <w:rPr>
          <w:lang w:val="fr-FR"/>
        </w:rPr>
        <w:t>’</w:t>
      </w:r>
      <w:r w:rsidR="00A21487" w:rsidRPr="008F309E">
        <w:rPr>
          <w:lang w:val="fr-FR"/>
        </w:rPr>
        <w:t>article 35 § 1 de la Convention, cette partie de la requête étant de toute manière irrecevable pour les motifs exposés ci-</w:t>
      </w:r>
      <w:r w:rsidR="00DC603A" w:rsidRPr="008F309E">
        <w:rPr>
          <w:lang w:val="fr-FR"/>
        </w:rPr>
        <w:t>dessous</w:t>
      </w:r>
      <w:r w:rsidR="00A21487" w:rsidRPr="008F309E">
        <w:rPr>
          <w:lang w:val="fr-FR"/>
        </w:rPr>
        <w:t>.</w:t>
      </w:r>
    </w:p>
    <w:p w:rsidR="00EA2BEB" w:rsidRPr="008F309E" w:rsidRDefault="00A21487" w:rsidP="00A21487">
      <w:pPr>
        <w:pStyle w:val="ECHRHeading2"/>
        <w:rPr>
          <w:lang w:val="fr-FR"/>
        </w:rPr>
      </w:pPr>
      <w:r w:rsidRPr="008F309E">
        <w:rPr>
          <w:lang w:val="fr-FR"/>
        </w:rPr>
        <w:t>C.</w:t>
      </w:r>
      <w:r w:rsidR="00EA2BEB" w:rsidRPr="008F309E">
        <w:rPr>
          <w:lang w:val="fr-FR"/>
        </w:rPr>
        <w:t>  L</w:t>
      </w:r>
      <w:r w:rsidR="00162789">
        <w:rPr>
          <w:lang w:val="fr-FR"/>
        </w:rPr>
        <w:t>’</w:t>
      </w:r>
      <w:r w:rsidR="00EA2BEB" w:rsidRPr="008F309E">
        <w:rPr>
          <w:lang w:val="fr-FR"/>
        </w:rPr>
        <w:t>exception tirée de la perte de la qualité de victime</w:t>
      </w:r>
    </w:p>
    <w:p w:rsidR="00EA2BEB" w:rsidRPr="008F309E" w:rsidRDefault="00A21487" w:rsidP="00A21487">
      <w:pPr>
        <w:pStyle w:val="ECHRHeading3"/>
        <w:rPr>
          <w:lang w:val="fr-FR"/>
        </w:rPr>
      </w:pPr>
      <w:r w:rsidRPr="008F309E">
        <w:rPr>
          <w:lang w:val="fr-FR"/>
        </w:rPr>
        <w:t>1.</w:t>
      </w:r>
      <w:r w:rsidR="00EA2BEB" w:rsidRPr="008F309E">
        <w:rPr>
          <w:lang w:val="fr-FR"/>
        </w:rPr>
        <w:t>  L</w:t>
      </w:r>
      <w:r w:rsidR="00162789">
        <w:rPr>
          <w:lang w:val="fr-FR"/>
        </w:rPr>
        <w:t>’</w:t>
      </w:r>
      <w:r w:rsidR="00EA2BEB" w:rsidRPr="008F309E">
        <w:rPr>
          <w:lang w:val="fr-FR"/>
        </w:rPr>
        <w:t>exception du Gouvernement</w:t>
      </w:r>
    </w:p>
    <w:bookmarkStart w:id="37" w:name="exceptionpertevictime1"/>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67</w:t>
      </w:r>
      <w:r w:rsidRPr="008F309E">
        <w:rPr>
          <w:lang w:val="fr-FR"/>
        </w:rPr>
        <w:fldChar w:fldCharType="end"/>
      </w:r>
      <w:bookmarkEnd w:id="37"/>
      <w:r w:rsidRPr="008F309E">
        <w:rPr>
          <w:lang w:val="fr-FR"/>
        </w:rPr>
        <w:t>.  Le Gouvernement considère qu</w:t>
      </w:r>
      <w:r w:rsidR="00162789">
        <w:rPr>
          <w:lang w:val="fr-FR"/>
        </w:rPr>
        <w:t>’</w:t>
      </w:r>
      <w:r w:rsidRPr="008F309E">
        <w:rPr>
          <w:lang w:val="fr-FR"/>
        </w:rPr>
        <w:t>en tout état de cause, le requérant a perdu sa qualité de « victime » au sens de l</w:t>
      </w:r>
      <w:r w:rsidR="00162789">
        <w:rPr>
          <w:lang w:val="fr-FR"/>
        </w:rPr>
        <w:t>’</w:t>
      </w:r>
      <w:r w:rsidRPr="008F309E">
        <w:rPr>
          <w:lang w:val="fr-FR"/>
        </w:rPr>
        <w:t xml:space="preserve">article 34 de la Convention. </w:t>
      </w:r>
      <w:r w:rsidRPr="008F309E">
        <w:rPr>
          <w:rFonts w:cstheme="minorHAnsi"/>
          <w:lang w:val="fr-FR"/>
        </w:rPr>
        <w:t>À</w:t>
      </w:r>
      <w:r w:rsidRPr="008F309E">
        <w:rPr>
          <w:lang w:val="fr-FR"/>
        </w:rPr>
        <w:t xml:space="preserve"> cet égard, il note que le 17 janvier 2011, la Cour de cassation a accueilli la demande en relèvement de forclusion du requérant (paragraphe </w:t>
      </w:r>
      <w:r w:rsidR="007501D0">
        <w:rPr>
          <w:noProof/>
          <w:lang w:val="fr-FR"/>
        </w:rPr>
        <w:t>37</w:t>
      </w:r>
      <w:r w:rsidR="0021617B">
        <w:rPr>
          <w:lang w:val="fr-FR"/>
        </w:rPr>
        <w:t xml:space="preserve"> ci</w:t>
      </w:r>
      <w:r w:rsidR="0021617B">
        <w:rPr>
          <w:lang w:val="fr-FR"/>
        </w:rPr>
        <w:noBreakHyphen/>
      </w:r>
      <w:r w:rsidRPr="008F309E">
        <w:rPr>
          <w:lang w:val="fr-FR"/>
        </w:rPr>
        <w:t>dessus) et que le 14 juin 2012, la cour d</w:t>
      </w:r>
      <w:r w:rsidR="00162789">
        <w:rPr>
          <w:lang w:val="fr-FR"/>
        </w:rPr>
        <w:t>’</w:t>
      </w:r>
      <w:r w:rsidRPr="008F309E">
        <w:rPr>
          <w:lang w:val="fr-FR"/>
        </w:rPr>
        <w:t xml:space="preserve">assises de Catanzaro a annulé </w:t>
      </w:r>
      <w:r w:rsidR="008C165E" w:rsidRPr="008F309E">
        <w:rPr>
          <w:lang w:val="fr-FR"/>
        </w:rPr>
        <w:t>s</w:t>
      </w:r>
      <w:r w:rsidRPr="008F309E">
        <w:rPr>
          <w:lang w:val="fr-FR"/>
        </w:rPr>
        <w:t xml:space="preserve">a condamnation </w:t>
      </w:r>
      <w:r w:rsidR="008C165E" w:rsidRPr="008F309E">
        <w:rPr>
          <w:lang w:val="fr-FR"/>
        </w:rPr>
        <w:t>par contumace</w:t>
      </w:r>
      <w:r w:rsidRPr="008F309E">
        <w:rPr>
          <w:lang w:val="fr-FR"/>
        </w:rPr>
        <w:t xml:space="preserve"> (paragraphe </w:t>
      </w:r>
      <w:r w:rsidR="007501D0">
        <w:rPr>
          <w:noProof/>
          <w:lang w:val="fr-FR"/>
        </w:rPr>
        <w:t>41</w:t>
      </w:r>
      <w:r w:rsidRPr="008F309E">
        <w:rPr>
          <w:lang w:val="fr-FR"/>
        </w:rPr>
        <w:t xml:space="preserve"> ci-dessus). </w:t>
      </w:r>
      <w:r w:rsidRPr="008F309E">
        <w:rPr>
          <w:rFonts w:cstheme="minorHAnsi"/>
          <w:lang w:val="fr-FR"/>
        </w:rPr>
        <w:t>À</w:t>
      </w:r>
      <w:r w:rsidRPr="008F309E">
        <w:rPr>
          <w:lang w:val="fr-FR"/>
        </w:rPr>
        <w:t xml:space="preserve"> présent, l</w:t>
      </w:r>
      <w:r w:rsidR="00162789">
        <w:rPr>
          <w:lang w:val="fr-FR"/>
        </w:rPr>
        <w:t>’</w:t>
      </w:r>
      <w:r w:rsidRPr="008F309E">
        <w:rPr>
          <w:lang w:val="fr-FR"/>
        </w:rPr>
        <w:t>intéressé est en train d</w:t>
      </w:r>
      <w:r w:rsidR="00162789">
        <w:rPr>
          <w:lang w:val="fr-FR"/>
        </w:rPr>
        <w:t>’</w:t>
      </w:r>
      <w:r w:rsidRPr="008F309E">
        <w:rPr>
          <w:lang w:val="fr-FR"/>
        </w:rPr>
        <w:t xml:space="preserve">être à nouveau jugé, en sa présence, pour les faits objet de la présente affaire (paragraphe </w:t>
      </w:r>
      <w:r w:rsidR="007501D0">
        <w:rPr>
          <w:noProof/>
          <w:lang w:val="fr-FR"/>
        </w:rPr>
        <w:t>46</w:t>
      </w:r>
      <w:r w:rsidRPr="008F309E">
        <w:rPr>
          <w:lang w:val="fr-FR"/>
        </w:rPr>
        <w:t xml:space="preserve"> ci-dessus). </w:t>
      </w:r>
      <w:r w:rsidR="008C165E" w:rsidRPr="008F309E">
        <w:rPr>
          <w:lang w:val="fr-FR"/>
        </w:rPr>
        <w:t>L</w:t>
      </w:r>
      <w:r w:rsidRPr="008F309E">
        <w:rPr>
          <w:lang w:val="fr-FR"/>
        </w:rPr>
        <w:t xml:space="preserve">es juridictions internes ont </w:t>
      </w:r>
      <w:r w:rsidR="008C165E" w:rsidRPr="008F309E">
        <w:rPr>
          <w:lang w:val="fr-FR"/>
        </w:rPr>
        <w:t xml:space="preserve">ainsi </w:t>
      </w:r>
      <w:r w:rsidRPr="008F309E">
        <w:rPr>
          <w:lang w:val="fr-FR"/>
        </w:rPr>
        <w:t>reconnu la violation d</w:t>
      </w:r>
      <w:r w:rsidR="008C165E" w:rsidRPr="008F309E">
        <w:rPr>
          <w:lang w:val="fr-FR"/>
        </w:rPr>
        <w:t>u</w:t>
      </w:r>
      <w:r w:rsidRPr="008F309E">
        <w:rPr>
          <w:lang w:val="fr-FR"/>
        </w:rPr>
        <w:t xml:space="preserve"> droit</w:t>
      </w:r>
      <w:r w:rsidR="008C165E" w:rsidRPr="008F309E">
        <w:rPr>
          <w:lang w:val="fr-FR"/>
        </w:rPr>
        <w:t xml:space="preserve"> de l</w:t>
      </w:r>
      <w:r w:rsidR="00162789">
        <w:rPr>
          <w:lang w:val="fr-FR"/>
        </w:rPr>
        <w:t>’</w:t>
      </w:r>
      <w:r w:rsidR="008C165E" w:rsidRPr="008F309E">
        <w:rPr>
          <w:lang w:val="fr-FR"/>
        </w:rPr>
        <w:t>intéressé</w:t>
      </w:r>
      <w:r w:rsidRPr="008F309E">
        <w:rPr>
          <w:lang w:val="fr-FR"/>
        </w:rPr>
        <w:t xml:space="preserve"> à participer au procès. De plus, la Cour de cassation a </w:t>
      </w:r>
      <w:r w:rsidR="00455E44" w:rsidRPr="008F309E">
        <w:rPr>
          <w:lang w:val="fr-FR"/>
        </w:rPr>
        <w:t>mis fin aux</w:t>
      </w:r>
      <w:r w:rsidRPr="008F309E">
        <w:rPr>
          <w:lang w:val="fr-FR"/>
        </w:rPr>
        <w:t xml:space="preserve"> effets de la condamnation et ordonné la libération immédiate du requérant (paragraphe</w:t>
      </w:r>
      <w:r w:rsidR="008C165E" w:rsidRPr="008F309E">
        <w:rPr>
          <w:lang w:val="fr-FR"/>
        </w:rPr>
        <w:t> </w:t>
      </w:r>
      <w:r w:rsidR="007501D0">
        <w:rPr>
          <w:noProof/>
          <w:lang w:val="fr-FR"/>
        </w:rPr>
        <w:t>37</w:t>
      </w:r>
      <w:r w:rsidRPr="008F309E">
        <w:rPr>
          <w:lang w:val="fr-FR"/>
        </w:rPr>
        <w:t xml:space="preserve"> ci-dessus). Le procès </w:t>
      </w:r>
      <w:r w:rsidR="00455E44" w:rsidRPr="008F309E">
        <w:rPr>
          <w:lang w:val="fr-FR"/>
        </w:rPr>
        <w:t>est revenu</w:t>
      </w:r>
      <w:r w:rsidRPr="008F309E">
        <w:rPr>
          <w:lang w:val="fr-FR"/>
        </w:rPr>
        <w:t xml:space="preserve"> à </w:t>
      </w:r>
      <w:r w:rsidR="00455E44" w:rsidRPr="008F309E">
        <w:rPr>
          <w:lang w:val="fr-FR"/>
        </w:rPr>
        <w:t xml:space="preserve">la </w:t>
      </w:r>
      <w:r w:rsidRPr="008F309E">
        <w:rPr>
          <w:lang w:val="fr-FR"/>
        </w:rPr>
        <w:t>phase de première instance, et le 16 décembre 2014, le requérant a bénéficié d</w:t>
      </w:r>
      <w:r w:rsidR="00162789">
        <w:rPr>
          <w:lang w:val="fr-FR"/>
        </w:rPr>
        <w:t>’</w:t>
      </w:r>
      <w:r w:rsidRPr="008F309E">
        <w:rPr>
          <w:lang w:val="fr-FR"/>
        </w:rPr>
        <w:t>un non-lieu pour cause de prescription (paragraphe</w:t>
      </w:r>
      <w:r w:rsidR="000F1DC0">
        <w:rPr>
          <w:lang w:val="fr-FR"/>
        </w:rPr>
        <w:t xml:space="preserve"> </w:t>
      </w:r>
      <w:r w:rsidR="007501D0">
        <w:rPr>
          <w:noProof/>
          <w:lang w:val="fr-FR"/>
        </w:rPr>
        <w:t>46</w:t>
      </w:r>
      <w:r w:rsidRPr="008F309E">
        <w:rPr>
          <w:lang w:val="fr-FR"/>
        </w:rPr>
        <w:t xml:space="preserve"> ci-dessus).</w:t>
      </w:r>
    </w:p>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68</w:t>
      </w:r>
      <w:r w:rsidRPr="008F309E">
        <w:rPr>
          <w:lang w:val="fr-FR"/>
        </w:rPr>
        <w:fldChar w:fldCharType="end"/>
      </w:r>
      <w:r w:rsidRPr="008F309E">
        <w:rPr>
          <w:lang w:val="fr-FR"/>
        </w:rPr>
        <w:t>.  Le Gouvernement souligne qu</w:t>
      </w:r>
      <w:r w:rsidR="00162789">
        <w:rPr>
          <w:lang w:val="fr-FR"/>
        </w:rPr>
        <w:t>’</w:t>
      </w:r>
      <w:r w:rsidRPr="008F309E">
        <w:rPr>
          <w:lang w:val="fr-FR"/>
        </w:rPr>
        <w:t>en conséquence de l</w:t>
      </w:r>
      <w:r w:rsidR="00162789">
        <w:rPr>
          <w:lang w:val="fr-FR"/>
        </w:rPr>
        <w:t>’</w:t>
      </w:r>
      <w:r w:rsidRPr="008F309E">
        <w:rPr>
          <w:lang w:val="fr-FR"/>
        </w:rPr>
        <w:t>annulation, le 17 janvier 2011, de la condamnation du requérant, l</w:t>
      </w:r>
      <w:r w:rsidR="00162789">
        <w:rPr>
          <w:lang w:val="fr-FR"/>
        </w:rPr>
        <w:t>’</w:t>
      </w:r>
      <w:r w:rsidRPr="008F309E">
        <w:rPr>
          <w:lang w:val="fr-FR"/>
        </w:rPr>
        <w:t>ordre d</w:t>
      </w:r>
      <w:r w:rsidR="00162789">
        <w:rPr>
          <w:lang w:val="fr-FR"/>
        </w:rPr>
        <w:t>’</w:t>
      </w:r>
      <w:r w:rsidRPr="008F309E">
        <w:rPr>
          <w:lang w:val="fr-FR"/>
        </w:rPr>
        <w:t>exécution de la peine dont il faisait l</w:t>
      </w:r>
      <w:r w:rsidR="00162789">
        <w:rPr>
          <w:lang w:val="fr-FR"/>
        </w:rPr>
        <w:t>’</w:t>
      </w:r>
      <w:r w:rsidRPr="008F309E">
        <w:rPr>
          <w:lang w:val="fr-FR"/>
        </w:rPr>
        <w:t>objet a été révoqué le 20 janvier 2011. En même temps, l</w:t>
      </w:r>
      <w:r w:rsidR="00162789">
        <w:rPr>
          <w:lang w:val="fr-FR"/>
        </w:rPr>
        <w:t>’</w:t>
      </w:r>
      <w:r w:rsidRPr="008F309E">
        <w:rPr>
          <w:lang w:val="fr-FR"/>
        </w:rPr>
        <w:t>intéressé s</w:t>
      </w:r>
      <w:r w:rsidR="00162789">
        <w:rPr>
          <w:lang w:val="fr-FR"/>
        </w:rPr>
        <w:t>’</w:t>
      </w:r>
      <w:r w:rsidRPr="008F309E">
        <w:rPr>
          <w:lang w:val="fr-FR"/>
        </w:rPr>
        <w:t>est vu notifier l</w:t>
      </w:r>
      <w:r w:rsidR="00162789">
        <w:rPr>
          <w:lang w:val="fr-FR"/>
        </w:rPr>
        <w:t>’</w:t>
      </w:r>
      <w:r w:rsidRPr="008F309E">
        <w:rPr>
          <w:lang w:val="fr-FR"/>
        </w:rPr>
        <w:t xml:space="preserve">ancienne ordonnance de placement en détention provisoire du 7 octobre 1994. Le 29 avril 2011, cette mesure a été révoquée par le tribunal de Catanzaro </w:t>
      </w:r>
      <w:r w:rsidR="00455E44" w:rsidRPr="008F309E">
        <w:rPr>
          <w:lang w:val="fr-FR"/>
        </w:rPr>
        <w:t>en raison</w:t>
      </w:r>
      <w:r w:rsidRPr="008F309E">
        <w:rPr>
          <w:lang w:val="fr-FR"/>
        </w:rPr>
        <w:t xml:space="preserve"> de l</w:t>
      </w:r>
      <w:r w:rsidR="00162789">
        <w:rPr>
          <w:lang w:val="fr-FR"/>
        </w:rPr>
        <w:t>’</w:t>
      </w:r>
      <w:r w:rsidRPr="008F309E">
        <w:rPr>
          <w:lang w:val="fr-FR"/>
        </w:rPr>
        <w:t xml:space="preserve">expiration des délais maxima de sa durée (paragraphe </w:t>
      </w:r>
      <w:r w:rsidR="007501D0">
        <w:rPr>
          <w:noProof/>
          <w:lang w:val="fr-FR"/>
        </w:rPr>
        <w:t>39</w:t>
      </w:r>
      <w:r w:rsidRPr="008F309E">
        <w:rPr>
          <w:lang w:val="fr-FR"/>
        </w:rPr>
        <w:t xml:space="preserve"> ci-dessus).</w:t>
      </w:r>
    </w:p>
    <w:bookmarkStart w:id="38" w:name="exceptionpertevictime2"/>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69</w:t>
      </w:r>
      <w:r w:rsidRPr="008F309E">
        <w:rPr>
          <w:lang w:val="fr-FR"/>
        </w:rPr>
        <w:fldChar w:fldCharType="end"/>
      </w:r>
      <w:bookmarkEnd w:id="38"/>
      <w:r w:rsidRPr="008F309E">
        <w:rPr>
          <w:lang w:val="fr-FR"/>
        </w:rPr>
        <w:t xml:space="preserve">.  Le Gouvernement souligne également que le requérant a attendu plus de sept ans (du 3 juillet 2000 au 9 novembre 2007 – paragraphes </w:t>
      </w:r>
      <w:r w:rsidR="007501D0">
        <w:rPr>
          <w:noProof/>
          <w:lang w:val="fr-FR"/>
        </w:rPr>
        <w:t>23</w:t>
      </w:r>
      <w:r w:rsidRPr="008F309E">
        <w:rPr>
          <w:lang w:val="fr-FR"/>
        </w:rPr>
        <w:t xml:space="preserve"> et </w:t>
      </w:r>
      <w:r w:rsidR="007501D0">
        <w:rPr>
          <w:noProof/>
          <w:lang w:val="fr-FR"/>
        </w:rPr>
        <w:t>25</w:t>
      </w:r>
      <w:r w:rsidRPr="008F309E">
        <w:rPr>
          <w:lang w:val="fr-FR"/>
        </w:rPr>
        <w:t xml:space="preserve"> ci-dessus) pour présenter son premier recours contre sa condamnation </w:t>
      </w:r>
      <w:r w:rsidRPr="008F309E">
        <w:rPr>
          <w:lang w:val="fr-FR"/>
        </w:rPr>
        <w:lastRenderedPageBreak/>
        <w:t>définitive et presque neuf ans (jusqu</w:t>
      </w:r>
      <w:r w:rsidR="00162789">
        <w:rPr>
          <w:lang w:val="fr-FR"/>
        </w:rPr>
        <w:t>’</w:t>
      </w:r>
      <w:r w:rsidRPr="008F309E">
        <w:rPr>
          <w:lang w:val="fr-FR"/>
        </w:rPr>
        <w:t>au 25 mai 2009) pour introduire sa requête devant la Cour. Dès lors, le laps de temps écoulé avant l</w:t>
      </w:r>
      <w:r w:rsidR="00162789">
        <w:rPr>
          <w:lang w:val="fr-FR"/>
        </w:rPr>
        <w:t>’</w:t>
      </w:r>
      <w:r w:rsidRPr="008F309E">
        <w:rPr>
          <w:lang w:val="fr-FR"/>
        </w:rPr>
        <w:t>annulation de sa condamnation ne saurait être mis à la charge des autorités et l</w:t>
      </w:r>
      <w:r w:rsidR="00162789">
        <w:rPr>
          <w:lang w:val="fr-FR"/>
        </w:rPr>
        <w:t>’</w:t>
      </w:r>
      <w:r w:rsidRPr="008F309E">
        <w:rPr>
          <w:lang w:val="fr-FR"/>
        </w:rPr>
        <w:t xml:space="preserve">intéressé peut être considéré comme ayant contribué </w:t>
      </w:r>
      <w:r w:rsidR="00455E44" w:rsidRPr="008F309E">
        <w:rPr>
          <w:lang w:val="fr-FR"/>
        </w:rPr>
        <w:t>au maintien</w:t>
      </w:r>
      <w:r w:rsidRPr="008F309E">
        <w:rPr>
          <w:lang w:val="fr-FR"/>
        </w:rPr>
        <w:t xml:space="preserve"> des effets défavorables dont il se plaint devant la Cour. Par ailleurs, lorsque, se fondant sur l</w:t>
      </w:r>
      <w:r w:rsidR="00162789">
        <w:rPr>
          <w:lang w:val="fr-FR"/>
        </w:rPr>
        <w:t>’</w:t>
      </w:r>
      <w:r w:rsidRPr="008F309E">
        <w:rPr>
          <w:lang w:val="fr-FR"/>
        </w:rPr>
        <w:t>arrêt de la Cour constitutionnelle n</w:t>
      </w:r>
      <w:r w:rsidR="005559D3" w:rsidRPr="005559D3">
        <w:rPr>
          <w:vertAlign w:val="superscript"/>
          <w:lang w:val="fr-FR"/>
        </w:rPr>
        <w:t>o</w:t>
      </w:r>
      <w:r w:rsidRPr="008F309E">
        <w:rPr>
          <w:lang w:val="fr-FR"/>
        </w:rPr>
        <w:t xml:space="preserve"> 317 du 30 novembre 2009, il a finalement introduit une demande en relèvement de forclusion (paragraphe </w:t>
      </w:r>
      <w:r w:rsidR="007501D0">
        <w:rPr>
          <w:noProof/>
          <w:lang w:val="fr-FR"/>
        </w:rPr>
        <w:t>34</w:t>
      </w:r>
      <w:r w:rsidRPr="008F309E">
        <w:rPr>
          <w:lang w:val="fr-FR"/>
        </w:rPr>
        <w:t xml:space="preserve"> ci-dessus), le requérant a pu obtenir une décision favorable dans un délai relativement bref (17</w:t>
      </w:r>
      <w:r w:rsidR="000F1DC0">
        <w:rPr>
          <w:lang w:val="fr-FR"/>
        </w:rPr>
        <w:t xml:space="preserve"> </w:t>
      </w:r>
      <w:r w:rsidRPr="008F309E">
        <w:rPr>
          <w:lang w:val="fr-FR"/>
        </w:rPr>
        <w:t xml:space="preserve">janvier 2011 – paragraphe </w:t>
      </w:r>
      <w:r w:rsidR="007501D0">
        <w:rPr>
          <w:noProof/>
          <w:lang w:val="fr-FR"/>
        </w:rPr>
        <w:t>37</w:t>
      </w:r>
      <w:r w:rsidRPr="008F309E">
        <w:rPr>
          <w:lang w:val="fr-FR"/>
        </w:rPr>
        <w:t xml:space="preserve"> ci-dessus).</w:t>
      </w:r>
    </w:p>
    <w:p w:rsidR="00EA2BEB" w:rsidRPr="008F309E" w:rsidRDefault="00A21487" w:rsidP="00A21487">
      <w:pPr>
        <w:pStyle w:val="ECHRHeading3"/>
        <w:rPr>
          <w:lang w:val="fr-FR"/>
        </w:rPr>
      </w:pPr>
      <w:r w:rsidRPr="008F309E">
        <w:rPr>
          <w:lang w:val="fr-FR"/>
        </w:rPr>
        <w:t>2.</w:t>
      </w:r>
      <w:r w:rsidR="00EA2BEB" w:rsidRPr="008F309E">
        <w:rPr>
          <w:lang w:val="fr-FR"/>
        </w:rPr>
        <w:t>  La réplique du requérant</w:t>
      </w:r>
    </w:p>
    <w:p w:rsidR="00EA2BEB" w:rsidRPr="008F309E" w:rsidRDefault="00EA2BEB"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70</w:t>
      </w:r>
      <w:r w:rsidRPr="008F309E">
        <w:rPr>
          <w:lang w:val="fr-FR"/>
        </w:rPr>
        <w:fldChar w:fldCharType="end"/>
      </w:r>
      <w:r w:rsidRPr="008F309E">
        <w:rPr>
          <w:lang w:val="fr-FR"/>
        </w:rPr>
        <w:t>.  Le requérant s</w:t>
      </w:r>
      <w:r w:rsidR="00162789">
        <w:rPr>
          <w:lang w:val="fr-FR"/>
        </w:rPr>
        <w:t>’</w:t>
      </w:r>
      <w:r w:rsidRPr="008F309E">
        <w:rPr>
          <w:lang w:val="fr-FR"/>
        </w:rPr>
        <w:t>oppose à la thèse du Gouvernement et observe que les autorités internes ont reconnu la présence d</w:t>
      </w:r>
      <w:r w:rsidR="00162789">
        <w:rPr>
          <w:lang w:val="fr-FR"/>
        </w:rPr>
        <w:t>’</w:t>
      </w:r>
      <w:r w:rsidRPr="008F309E">
        <w:rPr>
          <w:i/>
          <w:lang w:val="fr-FR"/>
        </w:rPr>
        <w:t xml:space="preserve">errores in procedendo </w:t>
      </w:r>
      <w:r w:rsidRPr="008F309E">
        <w:rPr>
          <w:lang w:val="fr-FR"/>
        </w:rPr>
        <w:t>dans l</w:t>
      </w:r>
      <w:r w:rsidR="00162789">
        <w:rPr>
          <w:lang w:val="fr-FR"/>
        </w:rPr>
        <w:t>’</w:t>
      </w:r>
      <w:r w:rsidRPr="008F309E">
        <w:rPr>
          <w:lang w:val="fr-FR"/>
        </w:rPr>
        <w:t>arrêt de la cour d</w:t>
      </w:r>
      <w:r w:rsidR="00162789">
        <w:rPr>
          <w:lang w:val="fr-FR"/>
        </w:rPr>
        <w:t>’</w:t>
      </w:r>
      <w:r w:rsidRPr="008F309E">
        <w:rPr>
          <w:lang w:val="fr-FR"/>
        </w:rPr>
        <w:t xml:space="preserve">assises de Cosenza du 9 juin 1997 (paragraphe </w:t>
      </w:r>
      <w:r w:rsidR="007501D0">
        <w:rPr>
          <w:noProof/>
          <w:lang w:val="fr-FR"/>
        </w:rPr>
        <w:t>15</w:t>
      </w:r>
      <w:r w:rsidR="0021617B">
        <w:rPr>
          <w:lang w:val="fr-FR"/>
        </w:rPr>
        <w:t xml:space="preserve"> ci</w:t>
      </w:r>
      <w:r w:rsidR="0021617B">
        <w:rPr>
          <w:lang w:val="fr-FR"/>
        </w:rPr>
        <w:noBreakHyphen/>
      </w:r>
      <w:r w:rsidRPr="008F309E">
        <w:rPr>
          <w:lang w:val="fr-FR"/>
        </w:rPr>
        <w:t xml:space="preserve">dessus), qui ont </w:t>
      </w:r>
      <w:r w:rsidR="002F22A6" w:rsidRPr="008F309E">
        <w:rPr>
          <w:lang w:val="fr-FR"/>
        </w:rPr>
        <w:t>port</w:t>
      </w:r>
      <w:r w:rsidRPr="008F309E">
        <w:rPr>
          <w:lang w:val="fr-FR"/>
        </w:rPr>
        <w:t xml:space="preserve">é </w:t>
      </w:r>
      <w:r w:rsidR="002F22A6" w:rsidRPr="008F309E">
        <w:rPr>
          <w:lang w:val="fr-FR"/>
        </w:rPr>
        <w:t xml:space="preserve">atteinte aux </w:t>
      </w:r>
      <w:r w:rsidRPr="008F309E">
        <w:rPr>
          <w:lang w:val="fr-FR"/>
        </w:rPr>
        <w:t>les droits de la défense. Cependant, la violation de la Convention commise à son encontre n</w:t>
      </w:r>
      <w:r w:rsidR="00162789">
        <w:rPr>
          <w:lang w:val="fr-FR"/>
        </w:rPr>
        <w:t>’</w:t>
      </w:r>
      <w:r w:rsidRPr="008F309E">
        <w:rPr>
          <w:lang w:val="fr-FR"/>
        </w:rPr>
        <w:t>a</w:t>
      </w:r>
      <w:r w:rsidR="008C165E" w:rsidRPr="008F309E">
        <w:rPr>
          <w:lang w:val="fr-FR"/>
        </w:rPr>
        <w:t>urait</w:t>
      </w:r>
      <w:r w:rsidRPr="008F309E">
        <w:rPr>
          <w:lang w:val="fr-FR"/>
        </w:rPr>
        <w:t xml:space="preserve"> pas été réparée de manière adéquate, e</w:t>
      </w:r>
      <w:r w:rsidR="008C165E" w:rsidRPr="008F309E">
        <w:rPr>
          <w:lang w:val="fr-FR"/>
        </w:rPr>
        <w:t>t</w:t>
      </w:r>
      <w:r w:rsidRPr="008F309E">
        <w:rPr>
          <w:lang w:val="fr-FR"/>
        </w:rPr>
        <w:t xml:space="preserve"> le requérant s</w:t>
      </w:r>
      <w:r w:rsidR="008C165E" w:rsidRPr="008F309E">
        <w:rPr>
          <w:lang w:val="fr-FR"/>
        </w:rPr>
        <w:t>ubirait</w:t>
      </w:r>
      <w:r w:rsidRPr="008F309E">
        <w:rPr>
          <w:lang w:val="fr-FR"/>
        </w:rPr>
        <w:t xml:space="preserve"> encore les conséquences de celle-ci. L</w:t>
      </w:r>
      <w:r w:rsidR="00162789">
        <w:rPr>
          <w:lang w:val="fr-FR"/>
        </w:rPr>
        <w:t>’</w:t>
      </w:r>
      <w:r w:rsidRPr="008F309E">
        <w:rPr>
          <w:lang w:val="fr-FR"/>
        </w:rPr>
        <w:t xml:space="preserve">intéressé rappelle à cet égard que la Cour de cassation </w:t>
      </w:r>
      <w:r w:rsidR="00151A8E" w:rsidRPr="008F309E">
        <w:rPr>
          <w:lang w:val="fr-FR"/>
        </w:rPr>
        <w:t>n</w:t>
      </w:r>
      <w:r w:rsidR="00162789">
        <w:rPr>
          <w:lang w:val="fr-FR"/>
        </w:rPr>
        <w:t>’</w:t>
      </w:r>
      <w:r w:rsidRPr="008F309E">
        <w:rPr>
          <w:lang w:val="fr-FR"/>
        </w:rPr>
        <w:t xml:space="preserve">a accepté sa demande en relèvement de forclusion </w:t>
      </w:r>
      <w:r w:rsidR="00151A8E" w:rsidRPr="008F309E">
        <w:rPr>
          <w:lang w:val="fr-FR"/>
        </w:rPr>
        <w:t>que le 17 janvier 2011</w:t>
      </w:r>
      <w:r w:rsidRPr="008F309E">
        <w:rPr>
          <w:lang w:val="fr-FR"/>
        </w:rPr>
        <w:t xml:space="preserve"> (paragraphe </w:t>
      </w:r>
      <w:r w:rsidR="007501D0">
        <w:rPr>
          <w:noProof/>
          <w:lang w:val="fr-FR"/>
        </w:rPr>
        <w:t>37</w:t>
      </w:r>
      <w:r w:rsidRPr="008F309E">
        <w:rPr>
          <w:lang w:val="fr-FR"/>
        </w:rPr>
        <w:t xml:space="preserve"> ci-dessus). Malgré cet arrêt de la Haute juridiction italienne, le requérant n</w:t>
      </w:r>
      <w:r w:rsidR="00162789">
        <w:rPr>
          <w:lang w:val="fr-FR"/>
        </w:rPr>
        <w:t>’</w:t>
      </w:r>
      <w:r w:rsidRPr="008F309E">
        <w:rPr>
          <w:lang w:val="fr-FR"/>
        </w:rPr>
        <w:t>a pas été libéré sur-le-champ ; au contraire, le 20</w:t>
      </w:r>
      <w:r w:rsidR="006E1E70">
        <w:rPr>
          <w:lang w:val="fr-FR"/>
        </w:rPr>
        <w:t xml:space="preserve"> </w:t>
      </w:r>
      <w:r w:rsidRPr="008F309E">
        <w:rPr>
          <w:lang w:val="fr-FR"/>
        </w:rPr>
        <w:t xml:space="preserve">janvier 2011, il a été placé en détention provisoire (paragraphe </w:t>
      </w:r>
      <w:r w:rsidR="007501D0">
        <w:rPr>
          <w:noProof/>
          <w:lang w:val="fr-FR"/>
        </w:rPr>
        <w:t>39</w:t>
      </w:r>
      <w:r w:rsidRPr="008F309E">
        <w:rPr>
          <w:lang w:val="fr-FR"/>
        </w:rPr>
        <w:t xml:space="preserve"> ci-dessus).</w:t>
      </w:r>
    </w:p>
    <w:p w:rsidR="00EA2BEB" w:rsidRPr="008F309E" w:rsidRDefault="00EA2BEB"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71</w:t>
      </w:r>
      <w:r w:rsidRPr="008F309E">
        <w:rPr>
          <w:lang w:val="fr-FR"/>
        </w:rPr>
        <w:fldChar w:fldCharType="end"/>
      </w:r>
      <w:r w:rsidRPr="008F309E">
        <w:rPr>
          <w:lang w:val="fr-FR"/>
        </w:rPr>
        <w:t>.  Plus de quinze ans après sa condamnation en première instance, le requérant, qui a été longtemps incarcéré en exécution d</w:t>
      </w:r>
      <w:r w:rsidR="00162789">
        <w:rPr>
          <w:lang w:val="fr-FR"/>
        </w:rPr>
        <w:t>’</w:t>
      </w:r>
      <w:r w:rsidRPr="008F309E">
        <w:rPr>
          <w:lang w:val="fr-FR"/>
        </w:rPr>
        <w:t xml:space="preserve">une </w:t>
      </w:r>
      <w:r w:rsidR="008F309E" w:rsidRPr="008F309E">
        <w:rPr>
          <w:lang w:val="fr-FR"/>
        </w:rPr>
        <w:t>d</w:t>
      </w:r>
      <w:r w:rsidR="008F309E" w:rsidRPr="008F309E">
        <w:rPr>
          <w:rFonts w:cstheme="minorHAnsi"/>
          <w:lang w:val="fr-FR"/>
        </w:rPr>
        <w:t>é</w:t>
      </w:r>
      <w:r w:rsidR="008F309E" w:rsidRPr="008F309E">
        <w:rPr>
          <w:lang w:val="fr-FR"/>
        </w:rPr>
        <w:t>cision prise</w:t>
      </w:r>
      <w:r w:rsidRPr="008F309E">
        <w:rPr>
          <w:lang w:val="fr-FR"/>
        </w:rPr>
        <w:t xml:space="preserve"> à l</w:t>
      </w:r>
      <w:r w:rsidR="00162789">
        <w:rPr>
          <w:lang w:val="fr-FR"/>
        </w:rPr>
        <w:t>’</w:t>
      </w:r>
      <w:r w:rsidRPr="008F309E">
        <w:rPr>
          <w:lang w:val="fr-FR"/>
        </w:rPr>
        <w:t>issue d</w:t>
      </w:r>
      <w:r w:rsidR="00162789">
        <w:rPr>
          <w:lang w:val="fr-FR"/>
        </w:rPr>
        <w:t>’</w:t>
      </w:r>
      <w:r w:rsidRPr="008F309E">
        <w:rPr>
          <w:lang w:val="fr-FR"/>
        </w:rPr>
        <w:t>un procès inéquitable, se trouve encore accusé dans une procédure pénale pendante. Son futur demeure donc incertain, et les décisions favorables récemment prononcées en sa faveur ne sauraient s</w:t>
      </w:r>
      <w:r w:rsidR="00162789">
        <w:rPr>
          <w:lang w:val="fr-FR"/>
        </w:rPr>
        <w:t>’</w:t>
      </w:r>
      <w:r w:rsidRPr="008F309E">
        <w:rPr>
          <w:lang w:val="fr-FR"/>
        </w:rPr>
        <w:t>analyser en un redressement complet et suffisant.</w:t>
      </w:r>
    </w:p>
    <w:p w:rsidR="00EA2BEB" w:rsidRPr="008F309E" w:rsidRDefault="00A21487" w:rsidP="00A21487">
      <w:pPr>
        <w:pStyle w:val="ECHRHeading3"/>
        <w:rPr>
          <w:lang w:val="fr-FR"/>
        </w:rPr>
      </w:pPr>
      <w:r w:rsidRPr="008F309E">
        <w:rPr>
          <w:lang w:val="fr-FR"/>
        </w:rPr>
        <w:t>3.</w:t>
      </w:r>
      <w:r w:rsidR="00EA2BEB" w:rsidRPr="008F309E">
        <w:rPr>
          <w:lang w:val="fr-FR"/>
        </w:rPr>
        <w:t>  L</w:t>
      </w:r>
      <w:r w:rsidR="00162789">
        <w:rPr>
          <w:lang w:val="fr-FR"/>
        </w:rPr>
        <w:t>’</w:t>
      </w:r>
      <w:r w:rsidR="00EA2BEB" w:rsidRPr="008F309E">
        <w:rPr>
          <w:lang w:val="fr-FR"/>
        </w:rPr>
        <w:t>appréciation de la Cour</w:t>
      </w:r>
    </w:p>
    <w:p w:rsidR="00052E66" w:rsidRPr="008F309E" w:rsidRDefault="00EA2BEB"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72</w:t>
      </w:r>
      <w:r w:rsidRPr="008F309E">
        <w:rPr>
          <w:lang w:val="fr-FR"/>
        </w:rPr>
        <w:fldChar w:fldCharType="end"/>
      </w:r>
      <w:r w:rsidRPr="008F309E">
        <w:rPr>
          <w:lang w:val="fr-FR"/>
        </w:rPr>
        <w:t>.  </w:t>
      </w:r>
      <w:r w:rsidR="00052E66" w:rsidRPr="008F309E">
        <w:rPr>
          <w:lang w:val="fr-FR"/>
        </w:rPr>
        <w:t>La Cour rappelle qu</w:t>
      </w:r>
      <w:r w:rsidR="00162789">
        <w:rPr>
          <w:lang w:val="fr-FR"/>
        </w:rPr>
        <w:t>’</w:t>
      </w:r>
      <w:r w:rsidR="00052E66" w:rsidRPr="008F309E">
        <w:rPr>
          <w:lang w:val="fr-FR"/>
        </w:rPr>
        <w:t xml:space="preserve">une décision ou une mesure favorable au requérant ne suffit en principe à lui retirer la qualité de « victime » que si les autorités nationales ont reconnu, explicitement ou en substance, puis réparé la violation de la Convention (voir, par exemple, </w:t>
      </w:r>
      <w:r w:rsidR="00052E66" w:rsidRPr="008F309E">
        <w:rPr>
          <w:i/>
          <w:lang w:val="fr-FR"/>
        </w:rPr>
        <w:t>Eckle c. Allemagne</w:t>
      </w:r>
      <w:r w:rsidR="00052E66" w:rsidRPr="008F309E">
        <w:rPr>
          <w:lang w:val="fr-FR"/>
        </w:rPr>
        <w:t>, 15 juillet 1982, § 69, série A n</w:t>
      </w:r>
      <w:r w:rsidR="00052E66" w:rsidRPr="008F309E">
        <w:rPr>
          <w:vertAlign w:val="superscript"/>
          <w:lang w:val="fr-FR"/>
        </w:rPr>
        <w:t>o</w:t>
      </w:r>
      <w:r w:rsidR="00052E66" w:rsidRPr="008F309E">
        <w:rPr>
          <w:lang w:val="fr-FR"/>
        </w:rPr>
        <w:t xml:space="preserve"> 51 ; </w:t>
      </w:r>
      <w:r w:rsidR="00052E66" w:rsidRPr="008F309E">
        <w:rPr>
          <w:i/>
          <w:lang w:val="fr-FR"/>
        </w:rPr>
        <w:t>Amuur c. France</w:t>
      </w:r>
      <w:r w:rsidR="00052E66" w:rsidRPr="008F309E">
        <w:rPr>
          <w:lang w:val="fr-FR"/>
        </w:rPr>
        <w:t xml:space="preserve">, 25 juin 1996, § 36, </w:t>
      </w:r>
      <w:r w:rsidR="00052E66" w:rsidRPr="008F309E">
        <w:rPr>
          <w:i/>
          <w:lang w:val="fr-FR"/>
        </w:rPr>
        <w:t>Recueil des arrêts et décisions</w:t>
      </w:r>
      <w:r w:rsidR="00052E66" w:rsidRPr="008F309E">
        <w:rPr>
          <w:lang w:val="fr-FR"/>
        </w:rPr>
        <w:t xml:space="preserve"> 1996-III ; </w:t>
      </w:r>
      <w:r w:rsidR="00052E66" w:rsidRPr="008F309E">
        <w:rPr>
          <w:i/>
          <w:lang w:val="fr-FR"/>
        </w:rPr>
        <w:t>Dalban c. Roumanie</w:t>
      </w:r>
      <w:r w:rsidR="00052E66" w:rsidRPr="008F309E">
        <w:rPr>
          <w:lang w:val="fr-FR"/>
        </w:rPr>
        <w:t xml:space="preserve"> [GC], n</w:t>
      </w:r>
      <w:r w:rsidR="00052E66" w:rsidRPr="008F309E">
        <w:rPr>
          <w:vertAlign w:val="superscript"/>
          <w:lang w:val="fr-FR"/>
        </w:rPr>
        <w:t>o</w:t>
      </w:r>
      <w:r w:rsidR="00052E66" w:rsidRPr="008F309E">
        <w:rPr>
          <w:lang w:val="fr-FR"/>
        </w:rPr>
        <w:t xml:space="preserve"> 28114/95, § 44, CEDH 1999-VI ; </w:t>
      </w:r>
      <w:r w:rsidR="00052E66" w:rsidRPr="008F309E">
        <w:rPr>
          <w:i/>
          <w:lang w:val="fr-FR"/>
        </w:rPr>
        <w:t>Jensen c. Danemark</w:t>
      </w:r>
      <w:r w:rsidR="00052E66" w:rsidRPr="008F309E">
        <w:rPr>
          <w:lang w:val="fr-FR"/>
        </w:rPr>
        <w:t xml:space="preserve"> (déc.), n</w:t>
      </w:r>
      <w:r w:rsidR="00052E66" w:rsidRPr="008F309E">
        <w:rPr>
          <w:vertAlign w:val="superscript"/>
          <w:lang w:val="fr-FR"/>
        </w:rPr>
        <w:t>o</w:t>
      </w:r>
      <w:r w:rsidR="00052E66" w:rsidRPr="008F309E">
        <w:rPr>
          <w:lang w:val="fr-FR"/>
        </w:rPr>
        <w:t xml:space="preserve"> 48470/99, CEDH 2001-X ; </w:t>
      </w:r>
      <w:r w:rsidR="00052E66" w:rsidRPr="008F309E">
        <w:rPr>
          <w:i/>
          <w:lang w:val="fr-FR"/>
        </w:rPr>
        <w:t>Torreggiani et autres c.</w:t>
      </w:r>
      <w:r w:rsidR="006E1E70">
        <w:rPr>
          <w:i/>
          <w:lang w:val="fr-FR"/>
        </w:rPr>
        <w:t xml:space="preserve"> </w:t>
      </w:r>
      <w:r w:rsidR="00052E66" w:rsidRPr="008F309E">
        <w:rPr>
          <w:i/>
          <w:lang w:val="fr-FR"/>
        </w:rPr>
        <w:t>Italie,</w:t>
      </w:r>
      <w:r w:rsidR="00052E66" w:rsidRPr="008F309E">
        <w:rPr>
          <w:lang w:val="fr-FR"/>
        </w:rPr>
        <w:t xml:space="preserve"> n</w:t>
      </w:r>
      <w:r w:rsidR="00052E66" w:rsidRPr="008F309E">
        <w:rPr>
          <w:vertAlign w:val="superscript"/>
          <w:lang w:val="fr-FR"/>
        </w:rPr>
        <w:t>os</w:t>
      </w:r>
      <w:r w:rsidR="006E1E70">
        <w:rPr>
          <w:vertAlign w:val="superscript"/>
          <w:lang w:val="fr-FR"/>
        </w:rPr>
        <w:t xml:space="preserve"> </w:t>
      </w:r>
      <w:hyperlink w:anchor="{&quot;appno&quot;:[&quot;57875/09&quot;]}" w:history="1">
        <w:r w:rsidR="00052E66" w:rsidRPr="008F309E">
          <w:rPr>
            <w:lang w:val="fr-FR"/>
          </w:rPr>
          <w:t>57875/09</w:t>
        </w:r>
      </w:hyperlink>
      <w:r w:rsidR="00052E66" w:rsidRPr="008F309E">
        <w:rPr>
          <w:lang w:val="fr-FR"/>
        </w:rPr>
        <w:t xml:space="preserve">, </w:t>
      </w:r>
      <w:hyperlink w:anchor="{&quot;appno&quot;:[&quot;46882/09&quot;]}" w:history="1">
        <w:r w:rsidR="00052E66" w:rsidRPr="008F309E">
          <w:rPr>
            <w:lang w:val="fr-FR"/>
          </w:rPr>
          <w:t>46882/09</w:t>
        </w:r>
      </w:hyperlink>
      <w:r w:rsidR="00052E66" w:rsidRPr="008F309E">
        <w:rPr>
          <w:lang w:val="fr-FR"/>
        </w:rPr>
        <w:t xml:space="preserve">, </w:t>
      </w:r>
      <w:hyperlink w:anchor="{&quot;appno&quot;:[&quot;55400/09&quot;]}" w:history="1">
        <w:r w:rsidR="00052E66" w:rsidRPr="008F309E">
          <w:rPr>
            <w:lang w:val="fr-FR"/>
          </w:rPr>
          <w:t>55400/09</w:t>
        </w:r>
      </w:hyperlink>
      <w:r w:rsidR="00052E66" w:rsidRPr="008F309E">
        <w:rPr>
          <w:lang w:val="fr-FR"/>
        </w:rPr>
        <w:t xml:space="preserve">, </w:t>
      </w:r>
      <w:hyperlink w:anchor="{&quot;appno&quot;:[&quot;57875/09&quot;]}" w:history="1">
        <w:r w:rsidR="00052E66" w:rsidRPr="008F309E">
          <w:rPr>
            <w:lang w:val="fr-FR"/>
          </w:rPr>
          <w:t>57875/09</w:t>
        </w:r>
      </w:hyperlink>
      <w:r w:rsidR="00052E66" w:rsidRPr="008F309E">
        <w:rPr>
          <w:lang w:val="fr-FR"/>
        </w:rPr>
        <w:t xml:space="preserve">, </w:t>
      </w:r>
      <w:hyperlink w:anchor="{&quot;appno&quot;:[&quot;61535/09&quot;]}" w:history="1">
        <w:r w:rsidR="00052E66" w:rsidRPr="008F309E">
          <w:rPr>
            <w:lang w:val="fr-FR"/>
          </w:rPr>
          <w:t>61535/09</w:t>
        </w:r>
      </w:hyperlink>
      <w:r w:rsidR="00052E66" w:rsidRPr="008F309E">
        <w:rPr>
          <w:lang w:val="fr-FR"/>
        </w:rPr>
        <w:t xml:space="preserve">, </w:t>
      </w:r>
      <w:hyperlink w:anchor="{&quot;appno&quot;:[&quot;35315/10&quot;]}" w:history="1">
        <w:r w:rsidR="00052E66" w:rsidRPr="008F309E">
          <w:rPr>
            <w:lang w:val="fr-FR"/>
          </w:rPr>
          <w:t>35315/10</w:t>
        </w:r>
      </w:hyperlink>
      <w:r w:rsidR="00052E66" w:rsidRPr="008F309E">
        <w:rPr>
          <w:lang w:val="fr-FR"/>
        </w:rPr>
        <w:t xml:space="preserve"> et </w:t>
      </w:r>
      <w:hyperlink w:anchor="{&quot;appno&quot;:[&quot;37818/10&quot;]}" w:history="1">
        <w:r w:rsidR="00052E66" w:rsidRPr="008F309E">
          <w:rPr>
            <w:lang w:val="fr-FR"/>
          </w:rPr>
          <w:t>37818/10</w:t>
        </w:r>
      </w:hyperlink>
      <w:r w:rsidR="00052E66" w:rsidRPr="008F309E">
        <w:rPr>
          <w:lang w:val="fr-FR"/>
        </w:rPr>
        <w:t xml:space="preserve">, § 38, 8 janvier 2013 ; et </w:t>
      </w:r>
      <w:r w:rsidR="00052E66" w:rsidRPr="008F309E">
        <w:rPr>
          <w:i/>
          <w:lang w:val="fr-FR"/>
        </w:rPr>
        <w:t>Cusan et Fazzo c. Italie</w:t>
      </w:r>
      <w:r w:rsidR="00052E66" w:rsidRPr="008F309E">
        <w:rPr>
          <w:lang w:val="fr-FR"/>
        </w:rPr>
        <w:t>, n</w:t>
      </w:r>
      <w:r w:rsidR="005559D3" w:rsidRPr="005559D3">
        <w:rPr>
          <w:vertAlign w:val="superscript"/>
          <w:lang w:val="fr-FR"/>
        </w:rPr>
        <w:t>o</w:t>
      </w:r>
      <w:r w:rsidR="00052E66" w:rsidRPr="008F309E">
        <w:rPr>
          <w:lang w:val="fr-FR"/>
        </w:rPr>
        <w:t xml:space="preserve"> 77/07, § 31, 7 janvier 2014).</w:t>
      </w:r>
    </w:p>
    <w:bookmarkStart w:id="39" w:name="ragionamentovittima1"/>
    <w:p w:rsidR="00052E66" w:rsidRPr="008F309E" w:rsidRDefault="00052E66" w:rsidP="00052E66">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73</w:t>
      </w:r>
      <w:r w:rsidRPr="008F309E">
        <w:rPr>
          <w:lang w:val="fr-FR"/>
        </w:rPr>
        <w:fldChar w:fldCharType="end"/>
      </w:r>
      <w:bookmarkEnd w:id="39"/>
      <w:r w:rsidRPr="008F309E">
        <w:rPr>
          <w:lang w:val="fr-FR"/>
        </w:rPr>
        <w:t>.  En l</w:t>
      </w:r>
      <w:r w:rsidR="00162789">
        <w:rPr>
          <w:lang w:val="fr-FR"/>
        </w:rPr>
        <w:t>’</w:t>
      </w:r>
      <w:r w:rsidRPr="008F309E">
        <w:rPr>
          <w:lang w:val="fr-FR"/>
        </w:rPr>
        <w:t xml:space="preserve">espèce, le 17 janvier 2011 le requérant a obtenu la réouverture du délai pour interjeter appel contre sa condamnation et </w:t>
      </w:r>
      <w:r w:rsidR="00151A8E" w:rsidRPr="008F309E">
        <w:rPr>
          <w:lang w:val="fr-FR"/>
        </w:rPr>
        <w:t>la</w:t>
      </w:r>
      <w:r w:rsidRPr="008F309E">
        <w:rPr>
          <w:lang w:val="fr-FR"/>
        </w:rPr>
        <w:t xml:space="preserve"> cessation des effets de cette dernière (paragraphe </w:t>
      </w:r>
      <w:r w:rsidR="007501D0">
        <w:rPr>
          <w:noProof/>
          <w:lang w:val="fr-FR"/>
        </w:rPr>
        <w:t>37</w:t>
      </w:r>
      <w:r w:rsidRPr="008F309E">
        <w:rPr>
          <w:lang w:val="fr-FR"/>
        </w:rPr>
        <w:t xml:space="preserve"> ci-dessus). Faisant application</w:t>
      </w:r>
      <w:r w:rsidR="005A113B" w:rsidRPr="008F309E">
        <w:rPr>
          <w:lang w:val="fr-FR"/>
        </w:rPr>
        <w:t xml:space="preserve">, entre </w:t>
      </w:r>
      <w:r w:rsidR="005A113B" w:rsidRPr="008F309E">
        <w:rPr>
          <w:lang w:val="fr-FR"/>
        </w:rPr>
        <w:lastRenderedPageBreak/>
        <w:t>autres,</w:t>
      </w:r>
      <w:r w:rsidRPr="008F309E">
        <w:rPr>
          <w:lang w:val="fr-FR"/>
        </w:rPr>
        <w:t xml:space="preserve"> des principes exposés par la Cour constitutionnelle dans son arr</w:t>
      </w:r>
      <w:r w:rsidR="005A113B" w:rsidRPr="008F309E">
        <w:rPr>
          <w:lang w:val="fr-FR"/>
        </w:rPr>
        <w:t>êt n</w:t>
      </w:r>
      <w:r w:rsidR="005559D3" w:rsidRPr="005559D3">
        <w:rPr>
          <w:vertAlign w:val="superscript"/>
          <w:lang w:val="fr-FR"/>
        </w:rPr>
        <w:t>o</w:t>
      </w:r>
      <w:r w:rsidR="00151A8E" w:rsidRPr="008F309E">
        <w:rPr>
          <w:lang w:val="fr-FR"/>
        </w:rPr>
        <w:t> </w:t>
      </w:r>
      <w:r w:rsidR="005A113B" w:rsidRPr="008F309E">
        <w:rPr>
          <w:lang w:val="fr-FR"/>
        </w:rPr>
        <w:t xml:space="preserve">317 du 30 novembre 2009 (paragraphe </w:t>
      </w:r>
      <w:r w:rsidR="007501D0">
        <w:rPr>
          <w:noProof/>
          <w:lang w:val="fr-FR"/>
        </w:rPr>
        <w:t>33</w:t>
      </w:r>
      <w:r w:rsidR="005A113B" w:rsidRPr="008F309E">
        <w:rPr>
          <w:lang w:val="fr-FR"/>
        </w:rPr>
        <w:t xml:space="preserve"> ci-dessus), l</w:t>
      </w:r>
      <w:r w:rsidRPr="008F309E">
        <w:rPr>
          <w:lang w:val="fr-FR"/>
        </w:rPr>
        <w:t>a Cour de cassation a également reconnu que l</w:t>
      </w:r>
      <w:r w:rsidR="00162789">
        <w:rPr>
          <w:lang w:val="fr-FR"/>
        </w:rPr>
        <w:t>’</w:t>
      </w:r>
      <w:r w:rsidRPr="008F309E">
        <w:rPr>
          <w:lang w:val="fr-FR"/>
        </w:rPr>
        <w:t>intéressé avait été à tort déclaré contumax</w:t>
      </w:r>
      <w:r w:rsidR="00151A8E" w:rsidRPr="008F309E">
        <w:rPr>
          <w:lang w:val="fr-FR"/>
        </w:rPr>
        <w:t>,</w:t>
      </w:r>
      <w:r w:rsidRPr="008F309E">
        <w:rPr>
          <w:lang w:val="fr-FR"/>
        </w:rPr>
        <w:t xml:space="preserve"> </w:t>
      </w:r>
      <w:r w:rsidR="005A113B" w:rsidRPr="008F309E">
        <w:rPr>
          <w:lang w:val="fr-FR"/>
        </w:rPr>
        <w:t>et que la circonstance qu</w:t>
      </w:r>
      <w:r w:rsidR="00162789">
        <w:rPr>
          <w:lang w:val="fr-FR"/>
        </w:rPr>
        <w:t>’</w:t>
      </w:r>
      <w:r w:rsidR="005A113B" w:rsidRPr="008F309E">
        <w:rPr>
          <w:lang w:val="fr-FR"/>
        </w:rPr>
        <w:t xml:space="preserve">un appel avait été interjeté par son avocat ne pouvait le priver de son droit à nouveau procès </w:t>
      </w:r>
      <w:r w:rsidRPr="008F309E">
        <w:rPr>
          <w:lang w:val="fr-FR"/>
        </w:rPr>
        <w:t>(</w:t>
      </w:r>
      <w:r w:rsidR="005A113B" w:rsidRPr="008F309E">
        <w:rPr>
          <w:lang w:val="fr-FR"/>
        </w:rPr>
        <w:t xml:space="preserve">paragraphe </w:t>
      </w:r>
      <w:r w:rsidR="007501D0">
        <w:rPr>
          <w:noProof/>
          <w:lang w:val="fr-FR"/>
        </w:rPr>
        <w:t>38</w:t>
      </w:r>
      <w:r w:rsidR="0021617B">
        <w:rPr>
          <w:lang w:val="fr-FR"/>
        </w:rPr>
        <w:t xml:space="preserve"> ci</w:t>
      </w:r>
      <w:r w:rsidR="0021617B">
        <w:rPr>
          <w:lang w:val="fr-FR"/>
        </w:rPr>
        <w:noBreakHyphen/>
      </w:r>
      <w:r w:rsidR="005A113B" w:rsidRPr="008F309E">
        <w:rPr>
          <w:lang w:val="fr-FR"/>
        </w:rPr>
        <w:t>dessus).</w:t>
      </w:r>
    </w:p>
    <w:p w:rsidR="005A113B" w:rsidRPr="008F309E" w:rsidRDefault="005A113B" w:rsidP="00052E66">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74</w:t>
      </w:r>
      <w:r w:rsidRPr="008F309E">
        <w:rPr>
          <w:lang w:val="fr-FR"/>
        </w:rPr>
        <w:fldChar w:fldCharType="end"/>
      </w:r>
      <w:r w:rsidRPr="008F309E">
        <w:rPr>
          <w:lang w:val="fr-FR"/>
        </w:rPr>
        <w:t>.  </w:t>
      </w:r>
      <w:r w:rsidR="002F4FDB">
        <w:rPr>
          <w:rFonts w:cstheme="minorHAnsi"/>
          <w:lang w:val="fr-FR"/>
        </w:rPr>
        <w:t>À</w:t>
      </w:r>
      <w:r w:rsidR="002F4FDB">
        <w:rPr>
          <w:lang w:val="fr-FR"/>
        </w:rPr>
        <w:t xml:space="preserve"> la suite</w:t>
      </w:r>
      <w:r w:rsidRPr="008F309E">
        <w:rPr>
          <w:lang w:val="fr-FR"/>
        </w:rPr>
        <w:t xml:space="preserve"> de cette décision de justice, le requérant a eu l</w:t>
      </w:r>
      <w:r w:rsidR="00151A8E" w:rsidRPr="008F309E">
        <w:rPr>
          <w:lang w:val="fr-FR"/>
        </w:rPr>
        <w:t>a possibilité</w:t>
      </w:r>
      <w:r w:rsidRPr="008F309E">
        <w:rPr>
          <w:lang w:val="fr-FR"/>
        </w:rPr>
        <w:t xml:space="preserve"> d</w:t>
      </w:r>
      <w:r w:rsidR="00162789">
        <w:rPr>
          <w:lang w:val="fr-FR"/>
        </w:rPr>
        <w:t>’</w:t>
      </w:r>
      <w:r w:rsidRPr="008F309E">
        <w:rPr>
          <w:lang w:val="fr-FR"/>
        </w:rPr>
        <w:t xml:space="preserve">interjeter appel contre sa condamnation (paragraphe </w:t>
      </w:r>
      <w:r w:rsidR="007501D0">
        <w:rPr>
          <w:noProof/>
          <w:lang w:val="fr-FR"/>
        </w:rPr>
        <w:t>40</w:t>
      </w:r>
      <w:r w:rsidRPr="008F309E">
        <w:rPr>
          <w:lang w:val="fr-FR"/>
        </w:rPr>
        <w:t xml:space="preserve"> ci-dessus). L</w:t>
      </w:r>
      <w:r w:rsidR="009A5679" w:rsidRPr="008F309E">
        <w:rPr>
          <w:lang w:val="fr-FR"/>
        </w:rPr>
        <w:t>e 14</w:t>
      </w:r>
      <w:r w:rsidR="0094537B">
        <w:rPr>
          <w:lang w:val="fr-FR"/>
        </w:rPr>
        <w:t> </w:t>
      </w:r>
      <w:r w:rsidR="009A5679" w:rsidRPr="008F309E">
        <w:rPr>
          <w:lang w:val="fr-FR"/>
        </w:rPr>
        <w:t>juin 2002, l</w:t>
      </w:r>
      <w:r w:rsidRPr="008F309E">
        <w:rPr>
          <w:lang w:val="fr-FR"/>
        </w:rPr>
        <w:t>a cour d</w:t>
      </w:r>
      <w:r w:rsidR="00162789">
        <w:rPr>
          <w:lang w:val="fr-FR"/>
        </w:rPr>
        <w:t>’</w:t>
      </w:r>
      <w:r w:rsidRPr="008F309E">
        <w:rPr>
          <w:lang w:val="fr-FR"/>
        </w:rPr>
        <w:t>assises d</w:t>
      </w:r>
      <w:r w:rsidR="00162789">
        <w:rPr>
          <w:lang w:val="fr-FR"/>
        </w:rPr>
        <w:t>’</w:t>
      </w:r>
      <w:r w:rsidRPr="008F309E">
        <w:rPr>
          <w:lang w:val="fr-FR"/>
        </w:rPr>
        <w:t xml:space="preserve">appel de Catanzaro a accueilli ses doléances, annulant la condamnation litigieuse et affirmant que </w:t>
      </w:r>
      <w:r w:rsidR="001C5C5D">
        <w:rPr>
          <w:lang w:val="fr-FR"/>
        </w:rPr>
        <w:t>vu l</w:t>
      </w:r>
      <w:r w:rsidR="00162789">
        <w:rPr>
          <w:lang w:val="fr-FR"/>
        </w:rPr>
        <w:t>’</w:t>
      </w:r>
      <w:r w:rsidR="001C5C5D">
        <w:rPr>
          <w:lang w:val="fr-FR"/>
        </w:rPr>
        <w:t>empêchement de</w:t>
      </w:r>
      <w:r w:rsidR="001C5C5D" w:rsidRPr="008F309E">
        <w:rPr>
          <w:lang w:val="fr-FR"/>
        </w:rPr>
        <w:t xml:space="preserve"> </w:t>
      </w:r>
      <w:r w:rsidRPr="008F309E">
        <w:rPr>
          <w:lang w:val="fr-FR"/>
        </w:rPr>
        <w:t>l</w:t>
      </w:r>
      <w:r w:rsidR="00162789">
        <w:rPr>
          <w:lang w:val="fr-FR"/>
        </w:rPr>
        <w:t>’</w:t>
      </w:r>
      <w:r w:rsidRPr="008F309E">
        <w:rPr>
          <w:lang w:val="fr-FR"/>
        </w:rPr>
        <w:t xml:space="preserve">accusé de participer aux débats, le procès </w:t>
      </w:r>
      <w:r w:rsidR="00151A8E" w:rsidRPr="008F309E">
        <w:rPr>
          <w:lang w:val="fr-FR"/>
        </w:rPr>
        <w:t>aurait dû</w:t>
      </w:r>
      <w:r w:rsidRPr="008F309E">
        <w:rPr>
          <w:lang w:val="fr-FR"/>
        </w:rPr>
        <w:t xml:space="preserve"> être ajourné </w:t>
      </w:r>
      <w:r w:rsidR="009A5679" w:rsidRPr="008F309E">
        <w:rPr>
          <w:lang w:val="fr-FR"/>
        </w:rPr>
        <w:t xml:space="preserve">(paragraphes </w:t>
      </w:r>
      <w:r w:rsidR="007501D0">
        <w:rPr>
          <w:noProof/>
          <w:lang w:val="fr-FR"/>
        </w:rPr>
        <w:t>41</w:t>
      </w:r>
      <w:r w:rsidR="009A5679" w:rsidRPr="008F309E">
        <w:rPr>
          <w:lang w:val="fr-FR"/>
        </w:rPr>
        <w:t xml:space="preserve"> et </w:t>
      </w:r>
      <w:r w:rsidR="007501D0">
        <w:rPr>
          <w:noProof/>
          <w:lang w:val="fr-FR"/>
        </w:rPr>
        <w:t>42</w:t>
      </w:r>
      <w:r w:rsidR="009A5679" w:rsidRPr="008F309E">
        <w:rPr>
          <w:lang w:val="fr-FR"/>
        </w:rPr>
        <w:t xml:space="preserve"> ci-dessus).</w:t>
      </w:r>
      <w:r w:rsidRPr="008F309E">
        <w:rPr>
          <w:lang w:val="fr-FR"/>
        </w:rPr>
        <w:t xml:space="preserve"> </w:t>
      </w:r>
      <w:r w:rsidR="009A5679" w:rsidRPr="008F309E">
        <w:rPr>
          <w:lang w:val="fr-FR"/>
        </w:rPr>
        <w:t>L</w:t>
      </w:r>
      <w:r w:rsidR="00162789">
        <w:rPr>
          <w:lang w:val="fr-FR"/>
        </w:rPr>
        <w:t>’</w:t>
      </w:r>
      <w:r w:rsidR="009A5679" w:rsidRPr="008F309E">
        <w:rPr>
          <w:lang w:val="fr-FR"/>
        </w:rPr>
        <w:t>arrêt de la cour d</w:t>
      </w:r>
      <w:r w:rsidR="00162789">
        <w:rPr>
          <w:lang w:val="fr-FR"/>
        </w:rPr>
        <w:t>’</w:t>
      </w:r>
      <w:r w:rsidR="009A5679" w:rsidRPr="008F309E">
        <w:rPr>
          <w:lang w:val="fr-FR"/>
        </w:rPr>
        <w:t>assises d</w:t>
      </w:r>
      <w:r w:rsidR="00162789">
        <w:rPr>
          <w:lang w:val="fr-FR"/>
        </w:rPr>
        <w:t>’</w:t>
      </w:r>
      <w:r w:rsidR="009A5679" w:rsidRPr="008F309E">
        <w:rPr>
          <w:lang w:val="fr-FR"/>
        </w:rPr>
        <w:t>appel de Catanzaro étant devenu définitif, un nouveau procès de première instance, auquel le requérant a eu l</w:t>
      </w:r>
      <w:r w:rsidR="00151A8E" w:rsidRPr="008F309E">
        <w:rPr>
          <w:lang w:val="fr-FR"/>
        </w:rPr>
        <w:t>e loisir</w:t>
      </w:r>
      <w:r w:rsidR="009A5679" w:rsidRPr="008F309E">
        <w:rPr>
          <w:lang w:val="fr-FR"/>
        </w:rPr>
        <w:t xml:space="preserve"> de participer, s</w:t>
      </w:r>
      <w:r w:rsidR="00162789">
        <w:rPr>
          <w:lang w:val="fr-FR"/>
        </w:rPr>
        <w:t>’</w:t>
      </w:r>
      <w:r w:rsidR="009A5679" w:rsidRPr="008F309E">
        <w:rPr>
          <w:lang w:val="fr-FR"/>
        </w:rPr>
        <w:t>est tenu devant la cour d</w:t>
      </w:r>
      <w:r w:rsidR="00162789">
        <w:rPr>
          <w:lang w:val="fr-FR"/>
        </w:rPr>
        <w:t>’</w:t>
      </w:r>
      <w:r w:rsidR="009A5679" w:rsidRPr="008F309E">
        <w:rPr>
          <w:lang w:val="fr-FR"/>
        </w:rPr>
        <w:t xml:space="preserve">assises de Cosenza, qui le 16 décembre 2014 a prononcé un non-lieu pour cause de prescription (paragraphe </w:t>
      </w:r>
      <w:r w:rsidR="007501D0">
        <w:rPr>
          <w:noProof/>
          <w:lang w:val="fr-FR"/>
        </w:rPr>
        <w:t>46</w:t>
      </w:r>
      <w:r w:rsidR="009A5679" w:rsidRPr="008F309E">
        <w:rPr>
          <w:lang w:val="fr-FR"/>
        </w:rPr>
        <w:t xml:space="preserve"> ci-dessus). </w:t>
      </w:r>
      <w:r w:rsidR="009A5679" w:rsidRPr="008F309E">
        <w:rPr>
          <w:rFonts w:cstheme="minorHAnsi"/>
          <w:lang w:val="fr-FR"/>
        </w:rPr>
        <w:t>À</w:t>
      </w:r>
      <w:r w:rsidR="009A5679" w:rsidRPr="008F309E">
        <w:rPr>
          <w:lang w:val="fr-FR"/>
        </w:rPr>
        <w:t xml:space="preserve"> la date des dernières informations (5 mai 2015), la procédure était pendante en appel (paragraphe</w:t>
      </w:r>
      <w:r w:rsidR="00A33BFE" w:rsidRPr="008F309E">
        <w:rPr>
          <w:lang w:val="fr-FR"/>
        </w:rPr>
        <w:t> </w:t>
      </w:r>
      <w:r w:rsidR="007501D0">
        <w:rPr>
          <w:noProof/>
          <w:lang w:val="fr-FR"/>
        </w:rPr>
        <w:t>47</w:t>
      </w:r>
      <w:r w:rsidR="009A5679" w:rsidRPr="008F309E">
        <w:rPr>
          <w:lang w:val="fr-FR"/>
        </w:rPr>
        <w:t xml:space="preserve"> ci-dessus).</w:t>
      </w:r>
      <w:r w:rsidR="00A33BFE" w:rsidRPr="008F309E">
        <w:rPr>
          <w:lang w:val="fr-FR"/>
        </w:rPr>
        <w:t xml:space="preserve"> Rien ne prouve que cette nouvelle procédure pénale ait été inéquitable ou autrement contraire à l</w:t>
      </w:r>
      <w:r w:rsidR="00162789">
        <w:rPr>
          <w:lang w:val="fr-FR"/>
        </w:rPr>
        <w:t>’</w:t>
      </w:r>
      <w:r w:rsidR="00A33BFE" w:rsidRPr="008F309E">
        <w:rPr>
          <w:lang w:val="fr-FR"/>
        </w:rPr>
        <w:t xml:space="preserve">article 6. En tout état de cause, toute doléance à cet égard serait </w:t>
      </w:r>
      <w:r w:rsidR="00BC35FD">
        <w:rPr>
          <w:lang w:val="fr-FR"/>
        </w:rPr>
        <w:t>en</w:t>
      </w:r>
      <w:r w:rsidR="00A33BFE" w:rsidRPr="008F309E">
        <w:rPr>
          <w:lang w:val="fr-FR"/>
        </w:rPr>
        <w:t xml:space="preserve"> l</w:t>
      </w:r>
      <w:r w:rsidR="00162789">
        <w:rPr>
          <w:lang w:val="fr-FR"/>
        </w:rPr>
        <w:t>’</w:t>
      </w:r>
      <w:r w:rsidR="00A33BFE" w:rsidRPr="008F309E">
        <w:rPr>
          <w:lang w:val="fr-FR"/>
        </w:rPr>
        <w:t>état actuel prématurée.</w:t>
      </w:r>
    </w:p>
    <w:p w:rsidR="005559D3" w:rsidRDefault="009A5679"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75</w:t>
      </w:r>
      <w:r w:rsidRPr="008F309E">
        <w:rPr>
          <w:lang w:val="fr-FR"/>
        </w:rPr>
        <w:fldChar w:fldCharType="end"/>
      </w:r>
      <w:r w:rsidRPr="008F309E">
        <w:rPr>
          <w:lang w:val="fr-FR"/>
        </w:rPr>
        <w:t xml:space="preserve">.  Aux yeux de la Cour, </w:t>
      </w:r>
      <w:r w:rsidR="004036B4" w:rsidRPr="008F309E">
        <w:rPr>
          <w:lang w:val="fr-FR"/>
        </w:rPr>
        <w:t>par les décisions de justice résumées ci-dessus, les autorités italiennes ont reconnu en substance que la condamnation par contumace du requérant avait violé les droits de l</w:t>
      </w:r>
      <w:r w:rsidR="00162789">
        <w:rPr>
          <w:lang w:val="fr-FR"/>
        </w:rPr>
        <w:t>’</w:t>
      </w:r>
      <w:r w:rsidR="004036B4" w:rsidRPr="008F309E">
        <w:rPr>
          <w:lang w:val="fr-FR"/>
        </w:rPr>
        <w:t>intéressé à un procès équitable et à un double degré de juridiction en matière pénale.</w:t>
      </w:r>
    </w:p>
    <w:p w:rsidR="004036B4" w:rsidRPr="008F309E" w:rsidRDefault="00151A8E"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76</w:t>
      </w:r>
      <w:r w:rsidRPr="008F309E">
        <w:rPr>
          <w:lang w:val="fr-FR"/>
        </w:rPr>
        <w:fldChar w:fldCharType="end"/>
      </w:r>
      <w:r w:rsidRPr="008F309E">
        <w:rPr>
          <w:lang w:val="fr-FR"/>
        </w:rPr>
        <w:t>.  </w:t>
      </w:r>
      <w:r w:rsidR="004036B4" w:rsidRPr="008F309E">
        <w:rPr>
          <w:lang w:val="fr-FR"/>
        </w:rPr>
        <w:t>Quant à la question de savoir s</w:t>
      </w:r>
      <w:r w:rsidR="00162789">
        <w:rPr>
          <w:lang w:val="fr-FR"/>
        </w:rPr>
        <w:t>’</w:t>
      </w:r>
      <w:r w:rsidR="004036B4" w:rsidRPr="008F309E">
        <w:rPr>
          <w:lang w:val="fr-FR"/>
        </w:rPr>
        <w:t>il y a eu réparation de ces violations, la Cour relève que grâce à la réouverture du délai d</w:t>
      </w:r>
      <w:r w:rsidR="00162789">
        <w:rPr>
          <w:lang w:val="fr-FR"/>
        </w:rPr>
        <w:t>’</w:t>
      </w:r>
      <w:r w:rsidR="004036B4" w:rsidRPr="008F309E">
        <w:rPr>
          <w:lang w:val="fr-FR"/>
        </w:rPr>
        <w:t>appel, l</w:t>
      </w:r>
      <w:r w:rsidR="00162789">
        <w:rPr>
          <w:lang w:val="fr-FR"/>
        </w:rPr>
        <w:t>’</w:t>
      </w:r>
      <w:r w:rsidR="004036B4" w:rsidRPr="008F309E">
        <w:rPr>
          <w:lang w:val="fr-FR"/>
        </w:rPr>
        <w:t>intéressé a pu exercer le droit garanti par l</w:t>
      </w:r>
      <w:r w:rsidR="00162789">
        <w:rPr>
          <w:lang w:val="fr-FR"/>
        </w:rPr>
        <w:t>’</w:t>
      </w:r>
      <w:r w:rsidR="004036B4" w:rsidRPr="008F309E">
        <w:rPr>
          <w:lang w:val="fr-FR"/>
        </w:rPr>
        <w:t>article 2 du Protocole n</w:t>
      </w:r>
      <w:r w:rsidR="005559D3" w:rsidRPr="005559D3">
        <w:rPr>
          <w:vertAlign w:val="superscript"/>
          <w:lang w:val="fr-FR"/>
        </w:rPr>
        <w:t>o</w:t>
      </w:r>
      <w:r w:rsidR="004036B4" w:rsidRPr="008F309E">
        <w:rPr>
          <w:lang w:val="fr-FR"/>
        </w:rPr>
        <w:t xml:space="preserve"> 7 à la Convention. En outre, il a obtenu un nouveau procès de première instance en sa présence, au cours duquel il a eu </w:t>
      </w:r>
      <w:r w:rsidR="005A4DBA">
        <w:rPr>
          <w:lang w:val="fr-FR"/>
        </w:rPr>
        <w:t>la possibilité</w:t>
      </w:r>
      <w:r w:rsidR="004036B4" w:rsidRPr="008F309E">
        <w:rPr>
          <w:lang w:val="fr-FR"/>
        </w:rPr>
        <w:t xml:space="preserve"> de présenter tous les arguments factuels et juridiques qu</w:t>
      </w:r>
      <w:r w:rsidR="00162789">
        <w:rPr>
          <w:lang w:val="fr-FR"/>
        </w:rPr>
        <w:t>’</w:t>
      </w:r>
      <w:r w:rsidR="004036B4" w:rsidRPr="008F309E">
        <w:rPr>
          <w:lang w:val="fr-FR"/>
        </w:rPr>
        <w:t>il a estimés utiles pour sa défense.</w:t>
      </w:r>
    </w:p>
    <w:p w:rsidR="00EA2BEB" w:rsidRPr="008F309E" w:rsidRDefault="00EA2BEB"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77</w:t>
      </w:r>
      <w:r w:rsidRPr="008F309E">
        <w:rPr>
          <w:lang w:val="fr-FR"/>
        </w:rPr>
        <w:fldChar w:fldCharType="end"/>
      </w:r>
      <w:r w:rsidRPr="008F309E">
        <w:rPr>
          <w:lang w:val="fr-FR"/>
        </w:rPr>
        <w:t>.  </w:t>
      </w:r>
      <w:r w:rsidR="004036B4" w:rsidRPr="008F309E">
        <w:rPr>
          <w:lang w:val="fr-FR"/>
        </w:rPr>
        <w:t>La Cour rappelle que s</w:t>
      </w:r>
      <w:r w:rsidRPr="008F309E">
        <w:rPr>
          <w:lang w:val="fr-FR"/>
        </w:rPr>
        <w:t>i une procédure se déroulant en l</w:t>
      </w:r>
      <w:r w:rsidR="00162789">
        <w:rPr>
          <w:lang w:val="fr-FR"/>
        </w:rPr>
        <w:t>’</w:t>
      </w:r>
      <w:r w:rsidRPr="008F309E">
        <w:rPr>
          <w:lang w:val="fr-FR"/>
        </w:rPr>
        <w:t>absence du prévenu n</w:t>
      </w:r>
      <w:r w:rsidR="00162789">
        <w:rPr>
          <w:lang w:val="fr-FR"/>
        </w:rPr>
        <w:t>’</w:t>
      </w:r>
      <w:r w:rsidRPr="008F309E">
        <w:rPr>
          <w:lang w:val="fr-FR"/>
        </w:rPr>
        <w:t>est pas en soi incompatible avec l</w:t>
      </w:r>
      <w:r w:rsidR="00162789">
        <w:rPr>
          <w:lang w:val="fr-FR"/>
        </w:rPr>
        <w:t>’</w:t>
      </w:r>
      <w:r w:rsidRPr="008F309E">
        <w:rPr>
          <w:lang w:val="fr-FR"/>
        </w:rPr>
        <w:t>article 6 de la Convention, il demeure néanmoins qu</w:t>
      </w:r>
      <w:r w:rsidR="00162789">
        <w:rPr>
          <w:lang w:val="fr-FR"/>
        </w:rPr>
        <w:t>’</w:t>
      </w:r>
      <w:r w:rsidRPr="008F309E">
        <w:rPr>
          <w:lang w:val="fr-FR"/>
        </w:rPr>
        <w:t>un déni de justice est constitué lorsqu</w:t>
      </w:r>
      <w:r w:rsidR="00162789">
        <w:rPr>
          <w:lang w:val="fr-FR"/>
        </w:rPr>
        <w:t>’</w:t>
      </w:r>
      <w:r w:rsidRPr="008F309E">
        <w:rPr>
          <w:lang w:val="fr-FR"/>
        </w:rPr>
        <w:t xml:space="preserve">un individu condamné </w:t>
      </w:r>
      <w:r w:rsidRPr="008F309E">
        <w:rPr>
          <w:i/>
          <w:iCs/>
          <w:lang w:val="fr-FR"/>
        </w:rPr>
        <w:t>in absentia</w:t>
      </w:r>
      <w:r w:rsidRPr="008F309E">
        <w:rPr>
          <w:lang w:val="fr-FR"/>
        </w:rPr>
        <w:t xml:space="preserve"> ne peut obtenir ultérieurement qu</w:t>
      </w:r>
      <w:r w:rsidR="00162789">
        <w:rPr>
          <w:lang w:val="fr-FR"/>
        </w:rPr>
        <w:t>’</w:t>
      </w:r>
      <w:r w:rsidRPr="008F309E">
        <w:rPr>
          <w:lang w:val="fr-FR"/>
        </w:rPr>
        <w:t>une juridiction statue à nouveau, après l</w:t>
      </w:r>
      <w:r w:rsidR="00162789">
        <w:rPr>
          <w:lang w:val="fr-FR"/>
        </w:rPr>
        <w:t>’</w:t>
      </w:r>
      <w:r w:rsidRPr="008F309E">
        <w:rPr>
          <w:lang w:val="fr-FR"/>
        </w:rPr>
        <w:t>avoir entendu, sur le bien-fondé de l</w:t>
      </w:r>
      <w:r w:rsidR="00162789">
        <w:rPr>
          <w:lang w:val="fr-FR"/>
        </w:rPr>
        <w:t>’</w:t>
      </w:r>
      <w:r w:rsidRPr="008F309E">
        <w:rPr>
          <w:lang w:val="fr-FR"/>
        </w:rPr>
        <w:t>accusation en fait comme en droit, alors qu</w:t>
      </w:r>
      <w:r w:rsidR="00162789">
        <w:rPr>
          <w:lang w:val="fr-FR"/>
        </w:rPr>
        <w:t>’</w:t>
      </w:r>
      <w:r w:rsidRPr="008F309E">
        <w:rPr>
          <w:lang w:val="fr-FR"/>
        </w:rPr>
        <w:t>il n</w:t>
      </w:r>
      <w:r w:rsidR="00162789">
        <w:rPr>
          <w:lang w:val="fr-FR"/>
        </w:rPr>
        <w:t>’</w:t>
      </w:r>
      <w:r w:rsidRPr="008F309E">
        <w:rPr>
          <w:lang w:val="fr-FR"/>
        </w:rPr>
        <w:t>est pas établi qu</w:t>
      </w:r>
      <w:r w:rsidR="00162789">
        <w:rPr>
          <w:lang w:val="fr-FR"/>
        </w:rPr>
        <w:t>’</w:t>
      </w:r>
      <w:r w:rsidRPr="008F309E">
        <w:rPr>
          <w:lang w:val="fr-FR"/>
        </w:rPr>
        <w:t>il a renoncé à son droit de comparaître et de se défendre (</w:t>
      </w:r>
      <w:r w:rsidRPr="008F309E">
        <w:rPr>
          <w:i/>
          <w:iCs/>
          <w:lang w:val="fr-FR"/>
        </w:rPr>
        <w:t>Colozza</w:t>
      </w:r>
      <w:r w:rsidR="00680821" w:rsidRPr="008F309E">
        <w:rPr>
          <w:i/>
          <w:iCs/>
          <w:lang w:val="fr-FR"/>
        </w:rPr>
        <w:t xml:space="preserve"> c. Italie</w:t>
      </w:r>
      <w:r w:rsidRPr="008F309E">
        <w:rPr>
          <w:iCs/>
          <w:lang w:val="fr-FR"/>
        </w:rPr>
        <w:t>,</w:t>
      </w:r>
      <w:r w:rsidRPr="008F309E">
        <w:rPr>
          <w:i/>
          <w:iCs/>
          <w:lang w:val="fr-FR"/>
        </w:rPr>
        <w:t xml:space="preserve"> </w:t>
      </w:r>
      <w:r w:rsidR="00680821" w:rsidRPr="008F309E">
        <w:rPr>
          <w:lang w:val="fr-FR"/>
        </w:rPr>
        <w:t>12 février 1985</w:t>
      </w:r>
      <w:r w:rsidRPr="008F309E">
        <w:rPr>
          <w:lang w:val="fr-FR"/>
        </w:rPr>
        <w:t>, § 29</w:t>
      </w:r>
      <w:r w:rsidR="00680821" w:rsidRPr="008F309E">
        <w:rPr>
          <w:lang w:val="fr-FR"/>
        </w:rPr>
        <w:t>, série A n</w:t>
      </w:r>
      <w:r w:rsidR="005559D3" w:rsidRPr="005559D3">
        <w:rPr>
          <w:vertAlign w:val="superscript"/>
          <w:lang w:val="fr-FR"/>
        </w:rPr>
        <w:t>o</w:t>
      </w:r>
      <w:r w:rsidR="00680821" w:rsidRPr="008F309E">
        <w:rPr>
          <w:lang w:val="fr-FR"/>
        </w:rPr>
        <w:t xml:space="preserve"> 89</w:t>
      </w:r>
      <w:r w:rsidRPr="008F309E">
        <w:rPr>
          <w:lang w:val="fr-FR"/>
        </w:rPr>
        <w:t xml:space="preserve"> ; </w:t>
      </w:r>
      <w:r w:rsidRPr="008F309E">
        <w:rPr>
          <w:i/>
          <w:lang w:val="fr-FR"/>
        </w:rPr>
        <w:t xml:space="preserve">Einhorn c. France </w:t>
      </w:r>
      <w:r w:rsidRPr="008F309E">
        <w:rPr>
          <w:lang w:val="fr-FR"/>
        </w:rPr>
        <w:t>(déc.), n</w:t>
      </w:r>
      <w:r w:rsidRPr="008F309E">
        <w:rPr>
          <w:vertAlign w:val="superscript"/>
          <w:lang w:val="fr-FR"/>
        </w:rPr>
        <w:t>o</w:t>
      </w:r>
      <w:r w:rsidR="0021617B">
        <w:rPr>
          <w:lang w:val="fr-FR"/>
        </w:rPr>
        <w:t xml:space="preserve"> 71555/01, § 33, CEDH 2001</w:t>
      </w:r>
      <w:r w:rsidR="0021617B">
        <w:rPr>
          <w:lang w:val="fr-FR"/>
        </w:rPr>
        <w:noBreakHyphen/>
      </w:r>
      <w:r w:rsidRPr="008F309E">
        <w:rPr>
          <w:lang w:val="fr-FR"/>
        </w:rPr>
        <w:t xml:space="preserve">XI ; </w:t>
      </w:r>
      <w:r w:rsidRPr="008F309E">
        <w:rPr>
          <w:i/>
          <w:lang w:val="fr-FR"/>
        </w:rPr>
        <w:t>Krombach c. France</w:t>
      </w:r>
      <w:r w:rsidRPr="008F309E">
        <w:rPr>
          <w:lang w:val="fr-FR"/>
        </w:rPr>
        <w:t>, n</w:t>
      </w:r>
      <w:r w:rsidRPr="008F309E">
        <w:rPr>
          <w:vertAlign w:val="superscript"/>
          <w:lang w:val="fr-FR"/>
        </w:rPr>
        <w:t>o</w:t>
      </w:r>
      <w:r w:rsidRPr="008F309E">
        <w:rPr>
          <w:lang w:val="fr-FR"/>
        </w:rPr>
        <w:t xml:space="preserve"> 29731/96, § 85, CEDH 2001-II, et </w:t>
      </w:r>
      <w:r w:rsidRPr="008F309E">
        <w:rPr>
          <w:i/>
          <w:lang w:val="fr-FR"/>
        </w:rPr>
        <w:t>Somogyi c.</w:t>
      </w:r>
      <w:r w:rsidR="00680821" w:rsidRPr="008F309E">
        <w:rPr>
          <w:i/>
          <w:lang w:val="fr-FR"/>
        </w:rPr>
        <w:t> </w:t>
      </w:r>
      <w:r w:rsidRPr="008F309E">
        <w:rPr>
          <w:i/>
          <w:lang w:val="fr-FR"/>
        </w:rPr>
        <w:t>Italie</w:t>
      </w:r>
      <w:r w:rsidRPr="008F309E">
        <w:rPr>
          <w:lang w:val="fr-FR"/>
        </w:rPr>
        <w:t>, n</w:t>
      </w:r>
      <w:r w:rsidRPr="008F309E">
        <w:rPr>
          <w:vertAlign w:val="superscript"/>
          <w:lang w:val="fr-FR"/>
        </w:rPr>
        <w:t>o</w:t>
      </w:r>
      <w:r w:rsidRPr="008F309E">
        <w:rPr>
          <w:lang w:val="fr-FR"/>
        </w:rPr>
        <w:t xml:space="preserve"> 67972/01, § 66, CEDH 2004-IV), ou qu</w:t>
      </w:r>
      <w:r w:rsidR="00162789">
        <w:rPr>
          <w:lang w:val="fr-FR"/>
        </w:rPr>
        <w:t>’</w:t>
      </w:r>
      <w:r w:rsidRPr="008F309E">
        <w:rPr>
          <w:lang w:val="fr-FR"/>
        </w:rPr>
        <w:t>il a eu l</w:t>
      </w:r>
      <w:r w:rsidR="00162789">
        <w:rPr>
          <w:lang w:val="fr-FR"/>
        </w:rPr>
        <w:t>’</w:t>
      </w:r>
      <w:r w:rsidRPr="008F309E">
        <w:rPr>
          <w:lang w:val="fr-FR"/>
        </w:rPr>
        <w:t>intention de se soustraire à la justice (</w:t>
      </w:r>
      <w:r w:rsidRPr="008F309E">
        <w:rPr>
          <w:i/>
          <w:lang w:val="fr-FR"/>
        </w:rPr>
        <w:t>Medenica c. Suisse</w:t>
      </w:r>
      <w:r w:rsidRPr="008F309E">
        <w:rPr>
          <w:lang w:val="fr-FR"/>
        </w:rPr>
        <w:t>, n</w:t>
      </w:r>
      <w:r w:rsidRPr="008F309E">
        <w:rPr>
          <w:vertAlign w:val="superscript"/>
          <w:lang w:val="fr-FR"/>
        </w:rPr>
        <w:t>o</w:t>
      </w:r>
      <w:r w:rsidRPr="008F309E">
        <w:rPr>
          <w:lang w:val="fr-FR"/>
        </w:rPr>
        <w:t xml:space="preserve"> 2</w:t>
      </w:r>
      <w:r w:rsidR="0021617B">
        <w:rPr>
          <w:lang w:val="fr-FR"/>
        </w:rPr>
        <w:t>0491/92, § </w:t>
      </w:r>
      <w:r w:rsidRPr="008F309E">
        <w:rPr>
          <w:lang w:val="fr-FR"/>
        </w:rPr>
        <w:t xml:space="preserve">55, CEDH 2001-VI, et </w:t>
      </w:r>
      <w:r w:rsidRPr="008F309E">
        <w:rPr>
          <w:i/>
          <w:lang w:val="fr-FR"/>
        </w:rPr>
        <w:t>Sejdovic</w:t>
      </w:r>
      <w:r w:rsidRPr="008F309E">
        <w:rPr>
          <w:lang w:val="fr-FR"/>
        </w:rPr>
        <w:t>, précité, § 82).</w:t>
      </w:r>
    </w:p>
    <w:p w:rsidR="005559D3" w:rsidRDefault="00EA2BEB"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78</w:t>
      </w:r>
      <w:r w:rsidRPr="008F309E">
        <w:rPr>
          <w:lang w:val="fr-FR"/>
        </w:rPr>
        <w:fldChar w:fldCharType="end"/>
      </w:r>
      <w:r w:rsidRPr="008F309E">
        <w:rPr>
          <w:lang w:val="fr-FR"/>
        </w:rPr>
        <w:t>.  </w:t>
      </w:r>
      <w:r w:rsidR="0024409F" w:rsidRPr="008F309E">
        <w:rPr>
          <w:lang w:val="fr-FR"/>
        </w:rPr>
        <w:t>En l</w:t>
      </w:r>
      <w:r w:rsidR="00162789">
        <w:rPr>
          <w:lang w:val="fr-FR"/>
        </w:rPr>
        <w:t>’</w:t>
      </w:r>
      <w:r w:rsidR="0024409F" w:rsidRPr="008F309E">
        <w:rPr>
          <w:lang w:val="fr-FR"/>
        </w:rPr>
        <w:t xml:space="preserve">espèce, le nouveau procès dont le requérant a bénéficié a remédié au déni de justice constitué par sa condamnation par contumace. </w:t>
      </w:r>
      <w:r w:rsidR="00151A8E" w:rsidRPr="008F309E">
        <w:rPr>
          <w:lang w:val="fr-FR"/>
        </w:rPr>
        <w:t xml:space="preserve">À </w:t>
      </w:r>
      <w:r w:rsidR="00151A8E" w:rsidRPr="008F309E">
        <w:rPr>
          <w:lang w:val="fr-FR"/>
        </w:rPr>
        <w:lastRenderedPageBreak/>
        <w:t>cet égard</w:t>
      </w:r>
      <w:r w:rsidR="0024409F" w:rsidRPr="008F309E">
        <w:rPr>
          <w:lang w:val="fr-FR"/>
        </w:rPr>
        <w:t>, l</w:t>
      </w:r>
      <w:r w:rsidRPr="008F309E">
        <w:rPr>
          <w:lang w:val="fr-FR"/>
        </w:rPr>
        <w:t xml:space="preserve">a Cour </w:t>
      </w:r>
      <w:r w:rsidR="00151A8E" w:rsidRPr="008F309E">
        <w:rPr>
          <w:lang w:val="fr-FR"/>
        </w:rPr>
        <w:t xml:space="preserve">rappelle </w:t>
      </w:r>
      <w:r w:rsidRPr="008F309E">
        <w:rPr>
          <w:lang w:val="fr-FR"/>
        </w:rPr>
        <w:t>a</w:t>
      </w:r>
      <w:r w:rsidR="00151A8E" w:rsidRPr="008F309E">
        <w:rPr>
          <w:lang w:val="fr-FR"/>
        </w:rPr>
        <w:t>voir</w:t>
      </w:r>
      <w:r w:rsidRPr="008F309E">
        <w:rPr>
          <w:lang w:val="fr-FR"/>
        </w:rPr>
        <w:t xml:space="preserve"> </w:t>
      </w:r>
      <w:r w:rsidR="00151A8E" w:rsidRPr="008F309E">
        <w:rPr>
          <w:lang w:val="fr-FR"/>
        </w:rPr>
        <w:t>dit</w:t>
      </w:r>
      <w:r w:rsidR="001F64B7" w:rsidRPr="008F309E">
        <w:rPr>
          <w:lang w:val="fr-FR"/>
        </w:rPr>
        <w:t>, dans une affaire similaire, que lorsqu</w:t>
      </w:r>
      <w:r w:rsidR="00162789">
        <w:rPr>
          <w:lang w:val="fr-FR"/>
        </w:rPr>
        <w:t>’</w:t>
      </w:r>
      <w:r w:rsidR="001F64B7" w:rsidRPr="008F309E">
        <w:rPr>
          <w:lang w:val="fr-FR"/>
        </w:rPr>
        <w:t>un particulier a été condamné à l</w:t>
      </w:r>
      <w:r w:rsidR="00162789">
        <w:rPr>
          <w:lang w:val="fr-FR"/>
        </w:rPr>
        <w:t>’</w:t>
      </w:r>
      <w:r w:rsidR="001F64B7" w:rsidRPr="008F309E">
        <w:rPr>
          <w:lang w:val="fr-FR"/>
        </w:rPr>
        <w:t>issue d</w:t>
      </w:r>
      <w:r w:rsidR="00162789">
        <w:rPr>
          <w:lang w:val="fr-FR"/>
        </w:rPr>
        <w:t>’</w:t>
      </w:r>
      <w:r w:rsidR="001F64B7" w:rsidRPr="008F309E">
        <w:rPr>
          <w:lang w:val="fr-FR"/>
        </w:rPr>
        <w:t>une procédure entachée de manquements aux exigences de l</w:t>
      </w:r>
      <w:r w:rsidR="00162789">
        <w:rPr>
          <w:lang w:val="fr-FR"/>
        </w:rPr>
        <w:t>’</w:t>
      </w:r>
      <w:r w:rsidR="001F64B7" w:rsidRPr="008F309E">
        <w:rPr>
          <w:lang w:val="fr-FR"/>
        </w:rPr>
        <w:t>article</w:t>
      </w:r>
      <w:r w:rsidR="006E1E70">
        <w:rPr>
          <w:lang w:val="fr-FR"/>
        </w:rPr>
        <w:t xml:space="preserve"> </w:t>
      </w:r>
      <w:r w:rsidR="001F64B7" w:rsidRPr="008F309E">
        <w:rPr>
          <w:lang w:val="fr-FR"/>
        </w:rPr>
        <w:t>6 de la Convention, un nouveau procès ou une réouverture de la procédure à la demande de l</w:t>
      </w:r>
      <w:r w:rsidR="00162789">
        <w:rPr>
          <w:lang w:val="fr-FR"/>
        </w:rPr>
        <w:t>’</w:t>
      </w:r>
      <w:r w:rsidR="001F64B7" w:rsidRPr="008F309E">
        <w:rPr>
          <w:lang w:val="fr-FR"/>
        </w:rPr>
        <w:t>intéressé représente en principe un moyen approprié de redresser la violation constatée (</w:t>
      </w:r>
      <w:r w:rsidR="001F64B7" w:rsidRPr="008F309E">
        <w:rPr>
          <w:i/>
          <w:lang w:val="fr-FR"/>
        </w:rPr>
        <w:t>Sejdovic</w:t>
      </w:r>
      <w:r w:rsidR="001F64B7" w:rsidRPr="008F309E">
        <w:rPr>
          <w:lang w:val="fr-FR"/>
        </w:rPr>
        <w:t xml:space="preserve">, précité, § 126). En outre, elle a déjà affirmé </w:t>
      </w:r>
      <w:r w:rsidRPr="008F309E">
        <w:rPr>
          <w:lang w:val="fr-FR"/>
        </w:rPr>
        <w:t>que la réouverture du délai d</w:t>
      </w:r>
      <w:r w:rsidR="00162789">
        <w:rPr>
          <w:lang w:val="fr-FR"/>
        </w:rPr>
        <w:t>’</w:t>
      </w:r>
      <w:r w:rsidRPr="008F309E">
        <w:rPr>
          <w:lang w:val="fr-FR"/>
        </w:rPr>
        <w:t>appel contre la condamnation par contumace, avec la faculté, pour l</w:t>
      </w:r>
      <w:r w:rsidR="00162789">
        <w:rPr>
          <w:lang w:val="fr-FR"/>
        </w:rPr>
        <w:t>’</w:t>
      </w:r>
      <w:r w:rsidRPr="008F309E">
        <w:rPr>
          <w:lang w:val="fr-FR"/>
        </w:rPr>
        <w:t>accusé, d</w:t>
      </w:r>
      <w:r w:rsidR="00162789">
        <w:rPr>
          <w:lang w:val="fr-FR"/>
        </w:rPr>
        <w:t>’</w:t>
      </w:r>
      <w:r w:rsidRPr="008F309E">
        <w:rPr>
          <w:lang w:val="fr-FR"/>
        </w:rPr>
        <w:t>être présent à l</w:t>
      </w:r>
      <w:r w:rsidR="00162789">
        <w:rPr>
          <w:lang w:val="fr-FR"/>
        </w:rPr>
        <w:t>’</w:t>
      </w:r>
      <w:r w:rsidRPr="008F309E">
        <w:rPr>
          <w:lang w:val="fr-FR"/>
        </w:rPr>
        <w:t>audience de deuxième instance et de demander la production de nouvelles preuves</w:t>
      </w:r>
      <w:r w:rsidR="001F64B7" w:rsidRPr="008F309E">
        <w:rPr>
          <w:lang w:val="fr-FR"/>
        </w:rPr>
        <w:t>,</w:t>
      </w:r>
      <w:r w:rsidRPr="008F309E">
        <w:rPr>
          <w:lang w:val="fr-FR"/>
        </w:rPr>
        <w:t xml:space="preserve"> s</w:t>
      </w:r>
      <w:r w:rsidR="00162789">
        <w:rPr>
          <w:lang w:val="fr-FR"/>
        </w:rPr>
        <w:t>’</w:t>
      </w:r>
      <w:r w:rsidRPr="008F309E">
        <w:rPr>
          <w:lang w:val="fr-FR"/>
        </w:rPr>
        <w:t>analysait en la possibilité d</w:t>
      </w:r>
      <w:r w:rsidR="00162789">
        <w:rPr>
          <w:lang w:val="fr-FR"/>
        </w:rPr>
        <w:t>’</w:t>
      </w:r>
      <w:r w:rsidRPr="008F309E">
        <w:rPr>
          <w:lang w:val="fr-FR"/>
        </w:rPr>
        <w:t>une nouvelle décision sur le bien-fondé de l</w:t>
      </w:r>
      <w:r w:rsidR="00162789">
        <w:rPr>
          <w:lang w:val="fr-FR"/>
        </w:rPr>
        <w:t>’</w:t>
      </w:r>
      <w:r w:rsidRPr="008F309E">
        <w:rPr>
          <w:lang w:val="fr-FR"/>
        </w:rPr>
        <w:t xml:space="preserve">accusation en fait comme en droit </w:t>
      </w:r>
      <w:r w:rsidR="00197EB0" w:rsidRPr="008F309E">
        <w:rPr>
          <w:lang w:val="fr-FR"/>
        </w:rPr>
        <w:t xml:space="preserve">et était conforme à la jurisprudence de la Cour </w:t>
      </w:r>
      <w:r w:rsidRPr="008F309E">
        <w:rPr>
          <w:lang w:val="fr-FR"/>
        </w:rPr>
        <w:t>(</w:t>
      </w:r>
      <w:r w:rsidRPr="008F309E">
        <w:rPr>
          <w:i/>
          <w:lang w:val="fr-FR"/>
        </w:rPr>
        <w:t xml:space="preserve">Jones c. Royaume-Uni </w:t>
      </w:r>
      <w:r w:rsidRPr="008F309E">
        <w:rPr>
          <w:lang w:val="fr-FR"/>
        </w:rPr>
        <w:t>(déc.), n</w:t>
      </w:r>
      <w:r w:rsidRPr="008F309E">
        <w:rPr>
          <w:vertAlign w:val="superscript"/>
          <w:lang w:val="fr-FR"/>
        </w:rPr>
        <w:t>o</w:t>
      </w:r>
      <w:r w:rsidRPr="008F309E">
        <w:rPr>
          <w:lang w:val="fr-FR"/>
        </w:rPr>
        <w:t xml:space="preserve"> 30900/02, 9</w:t>
      </w:r>
      <w:r w:rsidR="006E1E70">
        <w:rPr>
          <w:lang w:val="fr-FR"/>
        </w:rPr>
        <w:t xml:space="preserve"> </w:t>
      </w:r>
      <w:r w:rsidRPr="008F309E">
        <w:rPr>
          <w:lang w:val="fr-FR"/>
        </w:rPr>
        <w:t xml:space="preserve">septembre 2003, et </w:t>
      </w:r>
      <w:r w:rsidRPr="008F309E">
        <w:rPr>
          <w:i/>
          <w:lang w:val="fr-FR"/>
        </w:rPr>
        <w:t>Sejdovic</w:t>
      </w:r>
      <w:r w:rsidRPr="008F309E">
        <w:rPr>
          <w:lang w:val="fr-FR"/>
        </w:rPr>
        <w:t>, précité, § 85).</w:t>
      </w:r>
      <w:r w:rsidR="0024409F" w:rsidRPr="008F309E">
        <w:rPr>
          <w:lang w:val="fr-FR"/>
        </w:rPr>
        <w:t xml:space="preserve"> Cette conclusion s</w:t>
      </w:r>
      <w:r w:rsidR="00162789">
        <w:rPr>
          <w:lang w:val="fr-FR"/>
        </w:rPr>
        <w:t>’</w:t>
      </w:r>
      <w:r w:rsidR="0024409F" w:rsidRPr="008F309E">
        <w:rPr>
          <w:lang w:val="fr-FR"/>
        </w:rPr>
        <w:t>impose à plus fort</w:t>
      </w:r>
      <w:r w:rsidR="00E3117C">
        <w:rPr>
          <w:lang w:val="fr-FR"/>
        </w:rPr>
        <w:t>e</w:t>
      </w:r>
      <w:r w:rsidR="0024409F" w:rsidRPr="008F309E">
        <w:rPr>
          <w:lang w:val="fr-FR"/>
        </w:rPr>
        <w:t xml:space="preserve"> raison lorsque, comme en l</w:t>
      </w:r>
      <w:r w:rsidR="00162789">
        <w:rPr>
          <w:lang w:val="fr-FR"/>
        </w:rPr>
        <w:t>’</w:t>
      </w:r>
      <w:r w:rsidR="00197EB0" w:rsidRPr="008F309E">
        <w:rPr>
          <w:lang w:val="fr-FR"/>
        </w:rPr>
        <w:t>espèce</w:t>
      </w:r>
      <w:r w:rsidR="0024409F" w:rsidRPr="008F309E">
        <w:rPr>
          <w:lang w:val="fr-FR"/>
        </w:rPr>
        <w:t xml:space="preserve">, </w:t>
      </w:r>
      <w:r w:rsidR="00680821" w:rsidRPr="008F309E">
        <w:rPr>
          <w:lang w:val="fr-FR"/>
        </w:rPr>
        <w:t>le condamné par contumace se voit offrir la possibilité de participer non pas au procès d</w:t>
      </w:r>
      <w:r w:rsidR="00162789">
        <w:rPr>
          <w:lang w:val="fr-FR"/>
        </w:rPr>
        <w:t>’</w:t>
      </w:r>
      <w:r w:rsidR="00680821" w:rsidRPr="008F309E">
        <w:rPr>
          <w:lang w:val="fr-FR"/>
        </w:rPr>
        <w:t>appel, mais à un nouveau procès de première instance.</w:t>
      </w:r>
    </w:p>
    <w:bookmarkStart w:id="40" w:name="ragionamentovittimafine"/>
    <w:p w:rsidR="00EA2BEB" w:rsidRPr="008F309E" w:rsidRDefault="00EA2BEB"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79</w:t>
      </w:r>
      <w:r w:rsidRPr="008F309E">
        <w:rPr>
          <w:lang w:val="fr-FR"/>
        </w:rPr>
        <w:fldChar w:fldCharType="end"/>
      </w:r>
      <w:bookmarkEnd w:id="40"/>
      <w:r w:rsidRPr="008F309E">
        <w:rPr>
          <w:lang w:val="fr-FR"/>
        </w:rPr>
        <w:t>.  </w:t>
      </w:r>
      <w:r w:rsidR="00680821" w:rsidRPr="008F309E">
        <w:rPr>
          <w:lang w:val="fr-FR"/>
        </w:rPr>
        <w:t>À la lumière de ce qui précède, la Cour estime que le requérant ne saurait plus se prétendre « victime », au sens de l</w:t>
      </w:r>
      <w:r w:rsidR="00162789">
        <w:rPr>
          <w:lang w:val="fr-FR"/>
        </w:rPr>
        <w:t>’</w:t>
      </w:r>
      <w:r w:rsidR="00680821" w:rsidRPr="008F309E">
        <w:rPr>
          <w:lang w:val="fr-FR"/>
        </w:rPr>
        <w:t>article 34 de la Convention, des faits qu</w:t>
      </w:r>
      <w:r w:rsidR="00162789">
        <w:rPr>
          <w:lang w:val="fr-FR"/>
        </w:rPr>
        <w:t>’</w:t>
      </w:r>
      <w:r w:rsidR="00680821" w:rsidRPr="008F309E">
        <w:rPr>
          <w:lang w:val="fr-FR"/>
        </w:rPr>
        <w:t>il dénonce sous l</w:t>
      </w:r>
      <w:r w:rsidR="00162789">
        <w:rPr>
          <w:lang w:val="fr-FR"/>
        </w:rPr>
        <w:t>’</w:t>
      </w:r>
      <w:r w:rsidR="00680821" w:rsidRPr="008F309E">
        <w:rPr>
          <w:lang w:val="fr-FR"/>
        </w:rPr>
        <w:t>angle des articles 6 de la Convention et 2 du Protocole n</w:t>
      </w:r>
      <w:r w:rsidR="005559D3" w:rsidRPr="005559D3">
        <w:rPr>
          <w:vertAlign w:val="superscript"/>
          <w:lang w:val="fr-FR"/>
        </w:rPr>
        <w:t>o</w:t>
      </w:r>
      <w:r w:rsidR="00680821" w:rsidRPr="008F309E">
        <w:rPr>
          <w:lang w:val="fr-FR"/>
        </w:rPr>
        <w:t xml:space="preserve"> 7. Il y a donc lieu d</w:t>
      </w:r>
      <w:r w:rsidR="00162789">
        <w:rPr>
          <w:lang w:val="fr-FR"/>
        </w:rPr>
        <w:t>’</w:t>
      </w:r>
      <w:r w:rsidR="00680821" w:rsidRPr="008F309E">
        <w:rPr>
          <w:lang w:val="fr-FR"/>
        </w:rPr>
        <w:t>accueillir l</w:t>
      </w:r>
      <w:r w:rsidR="00162789">
        <w:rPr>
          <w:lang w:val="fr-FR"/>
        </w:rPr>
        <w:t>’</w:t>
      </w:r>
      <w:r w:rsidR="00680821" w:rsidRPr="008F309E">
        <w:rPr>
          <w:lang w:val="fr-FR"/>
        </w:rPr>
        <w:t>exception du Gouvernement tirée de la perte de la qualité de victime.</w:t>
      </w:r>
    </w:p>
    <w:p w:rsidR="00EA2BEB" w:rsidRPr="008F309E" w:rsidRDefault="008F5408" w:rsidP="00B667DE">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80</w:t>
      </w:r>
      <w:r w:rsidRPr="008F309E">
        <w:rPr>
          <w:lang w:val="fr-FR"/>
        </w:rPr>
        <w:fldChar w:fldCharType="end"/>
      </w:r>
      <w:r w:rsidRPr="008F309E">
        <w:rPr>
          <w:lang w:val="fr-FR"/>
        </w:rPr>
        <w:t>.  Il s</w:t>
      </w:r>
      <w:r w:rsidR="00162789">
        <w:rPr>
          <w:lang w:val="fr-FR"/>
        </w:rPr>
        <w:t>’</w:t>
      </w:r>
      <w:r w:rsidRPr="008F309E">
        <w:rPr>
          <w:lang w:val="fr-FR"/>
        </w:rPr>
        <w:t xml:space="preserve">ensuit que ces griefs sont incompatibles </w:t>
      </w:r>
      <w:r w:rsidRPr="008F309E">
        <w:rPr>
          <w:i/>
          <w:lang w:val="fr-FR"/>
        </w:rPr>
        <w:t>ratione personae</w:t>
      </w:r>
      <w:r w:rsidRPr="008F309E">
        <w:rPr>
          <w:lang w:val="fr-FR"/>
        </w:rPr>
        <w:t xml:space="preserve"> avec les dispositions de la Convention au sens de l</w:t>
      </w:r>
      <w:r w:rsidR="00162789">
        <w:rPr>
          <w:lang w:val="fr-FR"/>
        </w:rPr>
        <w:t>’</w:t>
      </w:r>
      <w:r w:rsidRPr="008F309E">
        <w:rPr>
          <w:lang w:val="fr-FR"/>
        </w:rPr>
        <w:t>article</w:t>
      </w:r>
      <w:r w:rsidR="006E1E70">
        <w:rPr>
          <w:lang w:val="fr-FR"/>
        </w:rPr>
        <w:t xml:space="preserve"> </w:t>
      </w:r>
      <w:r w:rsidRPr="008F309E">
        <w:rPr>
          <w:lang w:val="fr-FR"/>
        </w:rPr>
        <w:t>35 §</w:t>
      </w:r>
      <w:r w:rsidR="006E1E70">
        <w:rPr>
          <w:lang w:val="fr-FR"/>
        </w:rPr>
        <w:t xml:space="preserve"> </w:t>
      </w:r>
      <w:r w:rsidRPr="008F309E">
        <w:rPr>
          <w:lang w:val="fr-FR"/>
        </w:rPr>
        <w:t>3</w:t>
      </w:r>
      <w:r w:rsidR="006E1E70">
        <w:rPr>
          <w:lang w:val="fr-FR"/>
        </w:rPr>
        <w:t xml:space="preserve"> </w:t>
      </w:r>
      <w:r w:rsidRPr="008F309E">
        <w:rPr>
          <w:lang w:val="fr-FR"/>
        </w:rPr>
        <w:t>a) et doivent être rejetés en application de l</w:t>
      </w:r>
      <w:r w:rsidR="00162789">
        <w:rPr>
          <w:lang w:val="fr-FR"/>
        </w:rPr>
        <w:t>’</w:t>
      </w:r>
      <w:r w:rsidRPr="008F309E">
        <w:rPr>
          <w:lang w:val="fr-FR"/>
        </w:rPr>
        <w:t>article 35</w:t>
      </w:r>
      <w:r w:rsidR="006E1E70">
        <w:rPr>
          <w:lang w:val="fr-FR"/>
        </w:rPr>
        <w:t xml:space="preserve"> </w:t>
      </w:r>
      <w:r w:rsidRPr="008F309E">
        <w:rPr>
          <w:lang w:val="fr-FR"/>
        </w:rPr>
        <w:t>§</w:t>
      </w:r>
      <w:r w:rsidR="006E1E70">
        <w:rPr>
          <w:lang w:val="fr-FR"/>
        </w:rPr>
        <w:t xml:space="preserve"> </w:t>
      </w:r>
      <w:r w:rsidRPr="008F309E">
        <w:rPr>
          <w:lang w:val="fr-FR"/>
        </w:rPr>
        <w:t>4.</w:t>
      </w:r>
    </w:p>
    <w:p w:rsidR="00E77CB3" w:rsidRPr="008F309E" w:rsidRDefault="008F5408" w:rsidP="00C63990">
      <w:pPr>
        <w:pStyle w:val="ECHRHeading1"/>
        <w:rPr>
          <w:lang w:val="fr-FR"/>
        </w:rPr>
      </w:pPr>
      <w:r w:rsidRPr="008F309E">
        <w:rPr>
          <w:lang w:val="fr-FR"/>
        </w:rPr>
        <w:t>II</w:t>
      </w:r>
      <w:r w:rsidR="00E77CB3" w:rsidRPr="008F309E">
        <w:rPr>
          <w:lang w:val="fr-FR"/>
        </w:rPr>
        <w:t>.  SUR LA VIOLATION ALLÉGUÉE DE L</w:t>
      </w:r>
      <w:r w:rsidR="00162789">
        <w:rPr>
          <w:lang w:val="fr-FR"/>
        </w:rPr>
        <w:t>’</w:t>
      </w:r>
      <w:r w:rsidR="00E77CB3" w:rsidRPr="008F309E">
        <w:rPr>
          <w:lang w:val="fr-FR"/>
        </w:rPr>
        <w:t xml:space="preserve">ARTICLE </w:t>
      </w:r>
      <w:r w:rsidRPr="008F309E">
        <w:rPr>
          <w:lang w:val="fr-FR"/>
        </w:rPr>
        <w:t>13</w:t>
      </w:r>
      <w:r w:rsidR="00E77CB3" w:rsidRPr="008F309E">
        <w:rPr>
          <w:lang w:val="fr-FR"/>
        </w:rPr>
        <w:t xml:space="preserve"> DE LA CONVENTION</w:t>
      </w:r>
    </w:p>
    <w:p w:rsidR="005559D3" w:rsidRDefault="008F5408"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81</w:t>
      </w:r>
      <w:r w:rsidRPr="008F309E">
        <w:rPr>
          <w:lang w:val="fr-FR"/>
        </w:rPr>
        <w:fldChar w:fldCharType="end"/>
      </w:r>
      <w:r w:rsidRPr="008F309E">
        <w:rPr>
          <w:lang w:val="fr-FR"/>
        </w:rPr>
        <w:t>.  Le requérant considère qu</w:t>
      </w:r>
      <w:r w:rsidR="00162789">
        <w:rPr>
          <w:lang w:val="fr-FR"/>
        </w:rPr>
        <w:t>’</w:t>
      </w:r>
      <w:r w:rsidRPr="008F309E">
        <w:rPr>
          <w:lang w:val="fr-FR"/>
        </w:rPr>
        <w:t>il ne disposait, en droit italien, d</w:t>
      </w:r>
      <w:r w:rsidR="00162789">
        <w:rPr>
          <w:lang w:val="fr-FR"/>
        </w:rPr>
        <w:t>’</w:t>
      </w:r>
      <w:r w:rsidRPr="008F309E">
        <w:rPr>
          <w:lang w:val="fr-FR"/>
        </w:rPr>
        <w:t>aucun recours effectif pour faire valoir son grief tiré de l</w:t>
      </w:r>
      <w:r w:rsidR="00162789">
        <w:rPr>
          <w:lang w:val="fr-FR"/>
        </w:rPr>
        <w:t>’</w:t>
      </w:r>
      <w:r w:rsidRPr="008F309E">
        <w:rPr>
          <w:lang w:val="fr-FR"/>
        </w:rPr>
        <w:t>article 6</w:t>
      </w:r>
      <w:r w:rsidR="00197EB0" w:rsidRPr="008F309E">
        <w:rPr>
          <w:lang w:val="fr-FR"/>
        </w:rPr>
        <w:t xml:space="preserve"> de la Convention</w:t>
      </w:r>
      <w:r w:rsidRPr="008F309E">
        <w:rPr>
          <w:lang w:val="fr-FR"/>
        </w:rPr>
        <w:t>.</w:t>
      </w:r>
    </w:p>
    <w:p w:rsidR="008F5408" w:rsidRPr="008F309E" w:rsidRDefault="00197EB0" w:rsidP="008F5408">
      <w:pPr>
        <w:pStyle w:val="ECHRPara"/>
        <w:rPr>
          <w:lang w:val="fr-FR"/>
        </w:rPr>
      </w:pPr>
      <w:r w:rsidRPr="008F309E">
        <w:rPr>
          <w:lang w:val="fr-FR"/>
        </w:rPr>
        <w:t>Il</w:t>
      </w:r>
      <w:r w:rsidR="008F5408" w:rsidRPr="008F309E">
        <w:rPr>
          <w:lang w:val="fr-FR"/>
        </w:rPr>
        <w:t xml:space="preserve"> invoque l</w:t>
      </w:r>
      <w:r w:rsidR="00162789">
        <w:rPr>
          <w:lang w:val="fr-FR"/>
        </w:rPr>
        <w:t>’</w:t>
      </w:r>
      <w:r w:rsidR="008F5408" w:rsidRPr="008F309E">
        <w:rPr>
          <w:lang w:val="fr-FR"/>
        </w:rPr>
        <w:t>article 13 de la Convention, ainsi libellé :</w:t>
      </w:r>
    </w:p>
    <w:p w:rsidR="008F5408" w:rsidRPr="008F309E" w:rsidRDefault="008F5408" w:rsidP="008F5408">
      <w:pPr>
        <w:pStyle w:val="ECHRParaQuote"/>
        <w:rPr>
          <w:lang w:val="fr-FR"/>
        </w:rPr>
      </w:pPr>
      <w:r w:rsidRPr="008F309E">
        <w:rPr>
          <w:lang w:val="fr-FR"/>
        </w:rPr>
        <w:t>« Toute personne dont les droits et libertés reconnus dans la (...) Convention ont été violés, a droit à l</w:t>
      </w:r>
      <w:r w:rsidR="00162789">
        <w:rPr>
          <w:lang w:val="fr-FR"/>
        </w:rPr>
        <w:t>’</w:t>
      </w:r>
      <w:r w:rsidRPr="008F309E">
        <w:rPr>
          <w:lang w:val="fr-FR"/>
        </w:rPr>
        <w:t>octroi d</w:t>
      </w:r>
      <w:r w:rsidR="00162789">
        <w:rPr>
          <w:lang w:val="fr-FR"/>
        </w:rPr>
        <w:t>’</w:t>
      </w:r>
      <w:r w:rsidRPr="008F309E">
        <w:rPr>
          <w:lang w:val="fr-FR"/>
        </w:rPr>
        <w:t>un recours effectif devant une instance nationale, alors même que la violation aurait été commise par des personnes agissant dans l</w:t>
      </w:r>
      <w:r w:rsidR="00162789">
        <w:rPr>
          <w:lang w:val="fr-FR"/>
        </w:rPr>
        <w:t>’</w:t>
      </w:r>
      <w:r w:rsidRPr="008F309E">
        <w:rPr>
          <w:lang w:val="fr-FR"/>
        </w:rPr>
        <w:t>exercice de leurs fonctions officielles. »</w:t>
      </w:r>
    </w:p>
    <w:p w:rsidR="008F5408" w:rsidRPr="008F309E" w:rsidRDefault="008F5408" w:rsidP="009A795C">
      <w:pPr>
        <w:pStyle w:val="ECHRPara"/>
        <w:rPr>
          <w:rStyle w:val="JuParaCar"/>
          <w:lang w:val="fr-FR"/>
        </w:rPr>
      </w:pPr>
      <w:r w:rsidRPr="008F309E">
        <w:rPr>
          <w:rStyle w:val="JuParaCar"/>
          <w:lang w:val="fr-FR"/>
        </w:rPr>
        <w:fldChar w:fldCharType="begin"/>
      </w:r>
      <w:r w:rsidRPr="008F309E">
        <w:rPr>
          <w:rStyle w:val="JuParaCar"/>
          <w:lang w:val="fr-FR"/>
        </w:rPr>
        <w:instrText xml:space="preserve"> SEQ level0 \*arabic </w:instrText>
      </w:r>
      <w:r w:rsidRPr="008F309E">
        <w:rPr>
          <w:rStyle w:val="JuParaCar"/>
          <w:lang w:val="fr-FR"/>
        </w:rPr>
        <w:fldChar w:fldCharType="separate"/>
      </w:r>
      <w:r w:rsidR="0051458B">
        <w:rPr>
          <w:rStyle w:val="JuParaCar"/>
          <w:noProof/>
          <w:lang w:val="fr-FR"/>
        </w:rPr>
        <w:t>82</w:t>
      </w:r>
      <w:r w:rsidRPr="008F309E">
        <w:rPr>
          <w:rStyle w:val="JuParaCar"/>
          <w:lang w:val="fr-FR"/>
        </w:rPr>
        <w:fldChar w:fldCharType="end"/>
      </w:r>
      <w:r w:rsidRPr="008F309E">
        <w:rPr>
          <w:rStyle w:val="JuParaCar"/>
          <w:lang w:val="fr-FR"/>
        </w:rPr>
        <w:t>.  Le Gouvernement s</w:t>
      </w:r>
      <w:r w:rsidR="00162789">
        <w:rPr>
          <w:rStyle w:val="JuParaCar"/>
          <w:lang w:val="fr-FR"/>
        </w:rPr>
        <w:t>’</w:t>
      </w:r>
      <w:r w:rsidRPr="008F309E">
        <w:rPr>
          <w:rStyle w:val="JuParaCar"/>
          <w:lang w:val="fr-FR"/>
        </w:rPr>
        <w:t>oppose à la thèse du requérant.</w:t>
      </w:r>
    </w:p>
    <w:p w:rsidR="008F5408" w:rsidRPr="008F309E" w:rsidRDefault="008F5408" w:rsidP="008F5408">
      <w:pPr>
        <w:pStyle w:val="ECHRHeading2"/>
        <w:rPr>
          <w:lang w:val="fr-FR"/>
        </w:rPr>
      </w:pPr>
      <w:r w:rsidRPr="008F309E">
        <w:rPr>
          <w:lang w:val="fr-FR"/>
        </w:rPr>
        <w:t>A.  Arguments des parties</w:t>
      </w:r>
    </w:p>
    <w:p w:rsidR="008F5408" w:rsidRPr="008F309E" w:rsidRDefault="008F5408" w:rsidP="008F5408">
      <w:pPr>
        <w:pStyle w:val="ECHRHeading3"/>
        <w:rPr>
          <w:lang w:val="fr-FR"/>
        </w:rPr>
      </w:pPr>
      <w:r w:rsidRPr="008F309E">
        <w:rPr>
          <w:lang w:val="fr-FR"/>
        </w:rPr>
        <w:t>1.  Le Gouvernement</w:t>
      </w:r>
    </w:p>
    <w:p w:rsidR="008F5408" w:rsidRPr="008F309E" w:rsidRDefault="008F5408"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83</w:t>
      </w:r>
      <w:r w:rsidRPr="008F309E">
        <w:rPr>
          <w:lang w:val="fr-FR"/>
        </w:rPr>
        <w:fldChar w:fldCharType="end"/>
      </w:r>
      <w:r w:rsidRPr="008F309E">
        <w:rPr>
          <w:lang w:val="fr-FR"/>
        </w:rPr>
        <w:t>.  Le Gouvernement observe que dans le cadre de la procédure pénale à son encontre, le requérant a utilisé, par l</w:t>
      </w:r>
      <w:r w:rsidR="00162789">
        <w:rPr>
          <w:lang w:val="fr-FR"/>
        </w:rPr>
        <w:t>’</w:t>
      </w:r>
      <w:r w:rsidRPr="008F309E">
        <w:rPr>
          <w:lang w:val="fr-FR"/>
        </w:rPr>
        <w:t>intermédiaire de son représentant, les re</w:t>
      </w:r>
      <w:r w:rsidR="004B42F8">
        <w:rPr>
          <w:lang w:val="fr-FR"/>
        </w:rPr>
        <w:t>cour</w:t>
      </w:r>
      <w:r w:rsidRPr="008F309E">
        <w:rPr>
          <w:lang w:val="fr-FR"/>
        </w:rPr>
        <w:t xml:space="preserve">s ordinaires – appel et pourvoi en cassation – pour </w:t>
      </w:r>
      <w:r w:rsidR="00197EB0" w:rsidRPr="008F309E">
        <w:rPr>
          <w:lang w:val="fr-FR"/>
        </w:rPr>
        <w:t>revendiquer</w:t>
      </w:r>
      <w:r w:rsidRPr="008F309E">
        <w:rPr>
          <w:lang w:val="fr-FR"/>
        </w:rPr>
        <w:t xml:space="preserve"> son </w:t>
      </w:r>
      <w:r w:rsidRPr="008F309E">
        <w:rPr>
          <w:lang w:val="fr-FR"/>
        </w:rPr>
        <w:lastRenderedPageBreak/>
        <w:t>droit à un procès équitable. Le requérant s</w:t>
      </w:r>
      <w:r w:rsidR="00162789">
        <w:rPr>
          <w:lang w:val="fr-FR"/>
        </w:rPr>
        <w:t>’</w:t>
      </w:r>
      <w:r w:rsidRPr="008F309E">
        <w:rPr>
          <w:lang w:val="fr-FR"/>
        </w:rPr>
        <w:t>est ensuite prévalu d</w:t>
      </w:r>
      <w:r w:rsidR="00162789">
        <w:rPr>
          <w:lang w:val="fr-FR"/>
        </w:rPr>
        <w:t>’</w:t>
      </w:r>
      <w:r w:rsidRPr="008F309E">
        <w:rPr>
          <w:lang w:val="fr-FR"/>
        </w:rPr>
        <w:t>un incident d</w:t>
      </w:r>
      <w:r w:rsidR="00162789">
        <w:rPr>
          <w:lang w:val="fr-FR"/>
        </w:rPr>
        <w:t>’</w:t>
      </w:r>
      <w:r w:rsidRPr="008F309E">
        <w:rPr>
          <w:lang w:val="fr-FR"/>
        </w:rPr>
        <w:t>exécution ; cependant, comme relevé par les juridictions internes, ce r</w:t>
      </w:r>
      <w:r w:rsidR="004B42F8">
        <w:rPr>
          <w:lang w:val="fr-FR"/>
        </w:rPr>
        <w:t>ecours</w:t>
      </w:r>
      <w:r w:rsidRPr="008F309E">
        <w:rPr>
          <w:lang w:val="fr-FR"/>
        </w:rPr>
        <w:t xml:space="preserve"> était inapproprié pour dénoncer une violation du droit à participer aux débats. En effet, l</w:t>
      </w:r>
      <w:r w:rsidR="00162789">
        <w:rPr>
          <w:lang w:val="fr-FR"/>
        </w:rPr>
        <w:t>’</w:t>
      </w:r>
      <w:r w:rsidRPr="008F309E">
        <w:rPr>
          <w:lang w:val="fr-FR"/>
        </w:rPr>
        <w:t>incident d</w:t>
      </w:r>
      <w:r w:rsidR="00162789">
        <w:rPr>
          <w:lang w:val="fr-FR"/>
        </w:rPr>
        <w:t>’</w:t>
      </w:r>
      <w:r w:rsidRPr="008F309E">
        <w:rPr>
          <w:lang w:val="fr-FR"/>
        </w:rPr>
        <w:t>exécution ne pouvant que concerner les irrégularités commises dans le cadre de l</w:t>
      </w:r>
      <w:r w:rsidR="00162789">
        <w:rPr>
          <w:lang w:val="fr-FR"/>
        </w:rPr>
        <w:t>’</w:t>
      </w:r>
      <w:r w:rsidRPr="008F309E">
        <w:rPr>
          <w:lang w:val="fr-FR"/>
        </w:rPr>
        <w:t>exécution de la sentence.</w:t>
      </w:r>
    </w:p>
    <w:p w:rsidR="005559D3" w:rsidRDefault="008F5408"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84</w:t>
      </w:r>
      <w:r w:rsidRPr="008F309E">
        <w:rPr>
          <w:lang w:val="fr-FR"/>
        </w:rPr>
        <w:fldChar w:fldCharType="end"/>
      </w:r>
      <w:r w:rsidRPr="008F309E">
        <w:rPr>
          <w:lang w:val="fr-FR"/>
        </w:rPr>
        <w:t>.  Le Gouvernement admet qu</w:t>
      </w:r>
      <w:r w:rsidR="00162789">
        <w:rPr>
          <w:lang w:val="fr-FR"/>
        </w:rPr>
        <w:t>’</w:t>
      </w:r>
      <w:r w:rsidRPr="008F309E">
        <w:rPr>
          <w:lang w:val="fr-FR"/>
        </w:rPr>
        <w:t>à l</w:t>
      </w:r>
      <w:r w:rsidR="00162789">
        <w:rPr>
          <w:lang w:val="fr-FR"/>
        </w:rPr>
        <w:t>’</w:t>
      </w:r>
      <w:r w:rsidRPr="008F309E">
        <w:rPr>
          <w:lang w:val="fr-FR"/>
        </w:rPr>
        <w:t>époque de sa condamnation par contumace, le requérant ne pouvait pas introduire une demande en relèvement de forclusion. En effet, selon le libellé de l</w:t>
      </w:r>
      <w:r w:rsidR="00162789">
        <w:rPr>
          <w:lang w:val="fr-FR"/>
        </w:rPr>
        <w:t>’</w:t>
      </w:r>
      <w:r w:rsidRPr="008F309E">
        <w:rPr>
          <w:lang w:val="fr-FR"/>
        </w:rPr>
        <w:t xml:space="preserve">article 175 du CPP en vigueur à cette époque (paragraphe </w:t>
      </w:r>
      <w:r w:rsidR="007501D0">
        <w:rPr>
          <w:noProof/>
          <w:lang w:val="fr-FR"/>
        </w:rPr>
        <w:t>50</w:t>
      </w:r>
      <w:r w:rsidRPr="008F309E">
        <w:rPr>
          <w:lang w:val="fr-FR"/>
        </w:rPr>
        <w:t xml:space="preserve"> ci-dessus), la circonstance que le représentant de l</w:t>
      </w:r>
      <w:r w:rsidR="00162789">
        <w:rPr>
          <w:lang w:val="fr-FR"/>
        </w:rPr>
        <w:t>’</w:t>
      </w:r>
      <w:r w:rsidRPr="008F309E">
        <w:rPr>
          <w:lang w:val="fr-FR"/>
        </w:rPr>
        <w:t>accusé absent avait interjeté appel et/ou s</w:t>
      </w:r>
      <w:r w:rsidR="00162789">
        <w:rPr>
          <w:lang w:val="fr-FR"/>
        </w:rPr>
        <w:t>’</w:t>
      </w:r>
      <w:r w:rsidRPr="008F309E">
        <w:rPr>
          <w:lang w:val="fr-FR"/>
        </w:rPr>
        <w:t>était pourvu en cassation s</w:t>
      </w:r>
      <w:r w:rsidR="00162789">
        <w:rPr>
          <w:lang w:val="fr-FR"/>
        </w:rPr>
        <w:t>’</w:t>
      </w:r>
      <w:r w:rsidRPr="008F309E">
        <w:rPr>
          <w:lang w:val="fr-FR"/>
        </w:rPr>
        <w:t>opposait à la recevabilité d</w:t>
      </w:r>
      <w:r w:rsidR="00162789">
        <w:rPr>
          <w:lang w:val="fr-FR"/>
        </w:rPr>
        <w:t>’</w:t>
      </w:r>
      <w:r w:rsidRPr="008F309E">
        <w:rPr>
          <w:lang w:val="fr-FR"/>
        </w:rPr>
        <w:t>une telle demande. Cet obstacle a ensuite été éliminé par la loi n</w:t>
      </w:r>
      <w:r w:rsidR="005559D3" w:rsidRPr="005559D3">
        <w:rPr>
          <w:vertAlign w:val="superscript"/>
          <w:lang w:val="fr-FR"/>
        </w:rPr>
        <w:t>o</w:t>
      </w:r>
      <w:r w:rsidRPr="008F309E">
        <w:rPr>
          <w:lang w:val="fr-FR"/>
        </w:rPr>
        <w:t xml:space="preserve"> 60 de 2005, qui a modifié ledit article 175 (paragraphe</w:t>
      </w:r>
      <w:r w:rsidR="00A43EEB">
        <w:rPr>
          <w:lang w:val="fr-FR"/>
        </w:rPr>
        <w:t> </w:t>
      </w:r>
      <w:r w:rsidR="007501D0">
        <w:rPr>
          <w:noProof/>
          <w:lang w:val="fr-FR"/>
        </w:rPr>
        <w:t>53</w:t>
      </w:r>
      <w:r w:rsidRPr="008F309E">
        <w:rPr>
          <w:lang w:val="fr-FR"/>
        </w:rPr>
        <w:t xml:space="preserve"> ci-dessus). Cependant, en dépit de l</w:t>
      </w:r>
      <w:r w:rsidR="00162789">
        <w:rPr>
          <w:lang w:val="fr-FR"/>
        </w:rPr>
        <w:t>’</w:t>
      </w:r>
      <w:r w:rsidRPr="008F309E">
        <w:rPr>
          <w:lang w:val="fr-FR"/>
        </w:rPr>
        <w:t>effacement des mots « à condition qu</w:t>
      </w:r>
      <w:r w:rsidR="00162789">
        <w:rPr>
          <w:lang w:val="fr-FR"/>
        </w:rPr>
        <w:t>’</w:t>
      </w:r>
      <w:r w:rsidRPr="008F309E">
        <w:rPr>
          <w:lang w:val="fr-FR"/>
        </w:rPr>
        <w:t>aucun appel n</w:t>
      </w:r>
      <w:r w:rsidR="00162789">
        <w:rPr>
          <w:lang w:val="fr-FR"/>
        </w:rPr>
        <w:t>’</w:t>
      </w:r>
      <w:r w:rsidRPr="008F309E">
        <w:rPr>
          <w:lang w:val="fr-FR"/>
        </w:rPr>
        <w:t>ait déjà été interjeté par son défenseur », la jurisprudence interne était restée contrastée à ce sujet</w:t>
      </w:r>
      <w:r w:rsidR="00197EB0" w:rsidRPr="008F309E">
        <w:rPr>
          <w:lang w:val="fr-FR"/>
        </w:rPr>
        <w:t>,</w:t>
      </w:r>
      <w:r w:rsidRPr="008F309E">
        <w:rPr>
          <w:lang w:val="fr-FR"/>
        </w:rPr>
        <w:t xml:space="preserve"> et par un arrêt n</w:t>
      </w:r>
      <w:r w:rsidR="005559D3" w:rsidRPr="005559D3">
        <w:rPr>
          <w:vertAlign w:val="superscript"/>
          <w:lang w:val="fr-FR"/>
        </w:rPr>
        <w:t>o</w:t>
      </w:r>
      <w:r w:rsidR="00013E56" w:rsidRPr="008F309E">
        <w:rPr>
          <w:lang w:val="fr-FR"/>
        </w:rPr>
        <w:t> </w:t>
      </w:r>
      <w:r w:rsidRPr="008F309E">
        <w:rPr>
          <w:lang w:val="fr-FR"/>
        </w:rPr>
        <w:t xml:space="preserve">6026 du 31 janvier 2008, les sections réunies de la Cour de cassation avaient </w:t>
      </w:r>
      <w:r w:rsidR="00E44D68">
        <w:rPr>
          <w:lang w:val="fr-FR"/>
        </w:rPr>
        <w:t>affirmé</w:t>
      </w:r>
      <w:r w:rsidRPr="008F309E">
        <w:rPr>
          <w:lang w:val="fr-FR"/>
        </w:rPr>
        <w:t xml:space="preserve"> que le relevé de la forclusion ne pouvait</w:t>
      </w:r>
      <w:r w:rsidR="00013E56" w:rsidRPr="008F309E">
        <w:rPr>
          <w:lang w:val="fr-FR"/>
        </w:rPr>
        <w:t xml:space="preserve"> pas</w:t>
      </w:r>
      <w:r w:rsidRPr="008F309E">
        <w:rPr>
          <w:lang w:val="fr-FR"/>
        </w:rPr>
        <w:t xml:space="preserve"> être octroyé si l</w:t>
      </w:r>
      <w:r w:rsidR="00162789">
        <w:rPr>
          <w:lang w:val="fr-FR"/>
        </w:rPr>
        <w:t>’</w:t>
      </w:r>
      <w:r w:rsidRPr="008F309E">
        <w:rPr>
          <w:lang w:val="fr-FR"/>
        </w:rPr>
        <w:t>avocat de l</w:t>
      </w:r>
      <w:r w:rsidR="00162789">
        <w:rPr>
          <w:lang w:val="fr-FR"/>
        </w:rPr>
        <w:t>’</w:t>
      </w:r>
      <w:r w:rsidRPr="008F309E">
        <w:rPr>
          <w:lang w:val="fr-FR"/>
        </w:rPr>
        <w:t xml:space="preserve">accusé avait interjeté appel (paragraphe </w:t>
      </w:r>
      <w:r w:rsidR="007501D0">
        <w:rPr>
          <w:noProof/>
          <w:lang w:val="fr-FR"/>
        </w:rPr>
        <w:t>26</w:t>
      </w:r>
      <w:r w:rsidRPr="008F309E">
        <w:rPr>
          <w:lang w:val="fr-FR"/>
        </w:rPr>
        <w:t xml:space="preserve"> ci-dessus). De l</w:t>
      </w:r>
      <w:r w:rsidR="00162789">
        <w:rPr>
          <w:lang w:val="fr-FR"/>
        </w:rPr>
        <w:t>’</w:t>
      </w:r>
      <w:r w:rsidRPr="008F309E">
        <w:rPr>
          <w:lang w:val="fr-FR"/>
        </w:rPr>
        <w:t xml:space="preserve">avis du Gouvernement, de 2005 à janvier 2008, un </w:t>
      </w:r>
      <w:r w:rsidR="00F23C60">
        <w:rPr>
          <w:lang w:val="fr-FR"/>
        </w:rPr>
        <w:t>recours</w:t>
      </w:r>
      <w:r w:rsidRPr="008F309E">
        <w:rPr>
          <w:lang w:val="fr-FR"/>
        </w:rPr>
        <w:t xml:space="preserve"> était « potentiellement accessible » (</w:t>
      </w:r>
      <w:r w:rsidRPr="008F309E">
        <w:rPr>
          <w:i/>
          <w:lang w:val="fr-FR"/>
        </w:rPr>
        <w:t>possibly available</w:t>
      </w:r>
      <w:r w:rsidRPr="008F309E">
        <w:rPr>
          <w:lang w:val="fr-FR"/>
        </w:rPr>
        <w:t>) au requérant. La Cour constitutionnelle est enfin intervenue pour régler la question : dans son arrêt n</w:t>
      </w:r>
      <w:r w:rsidR="005559D3" w:rsidRPr="005559D3">
        <w:rPr>
          <w:vertAlign w:val="superscript"/>
          <w:lang w:val="fr-FR"/>
        </w:rPr>
        <w:t>o</w:t>
      </w:r>
      <w:r w:rsidRPr="008F309E">
        <w:rPr>
          <w:lang w:val="fr-FR"/>
        </w:rPr>
        <w:t xml:space="preserve"> 317 de 2009, elle a déclaré l</w:t>
      </w:r>
      <w:r w:rsidR="00162789">
        <w:rPr>
          <w:lang w:val="fr-FR"/>
        </w:rPr>
        <w:t>’</w:t>
      </w:r>
      <w:r w:rsidRPr="008F309E">
        <w:rPr>
          <w:lang w:val="fr-FR"/>
        </w:rPr>
        <w:t>article 175 § 2 du CPP inconstitutionnel dans la mesure où il ne permettait pas à l</w:t>
      </w:r>
      <w:r w:rsidR="00162789">
        <w:rPr>
          <w:lang w:val="fr-FR"/>
        </w:rPr>
        <w:t>’</w:t>
      </w:r>
      <w:r w:rsidRPr="008F309E">
        <w:rPr>
          <w:lang w:val="fr-FR"/>
        </w:rPr>
        <w:t xml:space="preserve">accusé </w:t>
      </w:r>
      <w:r w:rsidR="00013E56" w:rsidRPr="008F309E">
        <w:rPr>
          <w:lang w:val="fr-FR"/>
        </w:rPr>
        <w:t>qui n</w:t>
      </w:r>
      <w:r w:rsidR="00162789">
        <w:rPr>
          <w:lang w:val="fr-FR"/>
        </w:rPr>
        <w:t>’</w:t>
      </w:r>
      <w:r w:rsidR="00013E56" w:rsidRPr="008F309E">
        <w:rPr>
          <w:lang w:val="fr-FR"/>
        </w:rPr>
        <w:t>avait</w:t>
      </w:r>
      <w:r w:rsidRPr="008F309E">
        <w:rPr>
          <w:lang w:val="fr-FR"/>
        </w:rPr>
        <w:t xml:space="preserve"> pas eu connaissance du procès d</w:t>
      </w:r>
      <w:r w:rsidR="00162789">
        <w:rPr>
          <w:lang w:val="fr-FR"/>
        </w:rPr>
        <w:t>’</w:t>
      </w:r>
      <w:r w:rsidRPr="008F309E">
        <w:rPr>
          <w:lang w:val="fr-FR"/>
        </w:rPr>
        <w:t>attaquer un jugement par contumace lorsqu</w:t>
      </w:r>
      <w:r w:rsidR="00162789">
        <w:rPr>
          <w:lang w:val="fr-FR"/>
        </w:rPr>
        <w:t>’</w:t>
      </w:r>
      <w:r w:rsidRPr="008F309E">
        <w:rPr>
          <w:lang w:val="fr-FR"/>
        </w:rPr>
        <w:t>un appel avait déjà été interjeté par le défenseur de l</w:t>
      </w:r>
      <w:r w:rsidR="00162789">
        <w:rPr>
          <w:lang w:val="fr-FR"/>
        </w:rPr>
        <w:t>’</w:t>
      </w:r>
      <w:r w:rsidRPr="008F309E">
        <w:rPr>
          <w:lang w:val="fr-FR"/>
        </w:rPr>
        <w:t xml:space="preserve">intéressé (paragraphe </w:t>
      </w:r>
      <w:r w:rsidR="007501D0">
        <w:rPr>
          <w:noProof/>
          <w:lang w:val="fr-FR"/>
        </w:rPr>
        <w:t>33</w:t>
      </w:r>
      <w:r w:rsidRPr="008F309E">
        <w:rPr>
          <w:lang w:val="fr-FR"/>
        </w:rPr>
        <w:t xml:space="preserve"> ci-dessus).</w:t>
      </w:r>
    </w:p>
    <w:p w:rsidR="008F5408" w:rsidRPr="008F309E" w:rsidRDefault="008F5408"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85</w:t>
      </w:r>
      <w:r w:rsidRPr="008F309E">
        <w:rPr>
          <w:lang w:val="fr-FR"/>
        </w:rPr>
        <w:fldChar w:fldCharType="end"/>
      </w:r>
      <w:r w:rsidRPr="008F309E">
        <w:rPr>
          <w:lang w:val="fr-FR"/>
        </w:rPr>
        <w:t xml:space="preserve">.  Selon le Gouvernement, à partir de ce moment, le requérant avait à sa disposition un </w:t>
      </w:r>
      <w:r w:rsidR="00284AD0">
        <w:rPr>
          <w:lang w:val="fr-FR"/>
        </w:rPr>
        <w:t>recours</w:t>
      </w:r>
      <w:r w:rsidRPr="008F309E">
        <w:rPr>
          <w:lang w:val="fr-FR"/>
        </w:rPr>
        <w:t xml:space="preserve"> efficace, comme le prouve le fait que sa demande en relèvement de forclusion a finalement été accueillie. Quant à l</w:t>
      </w:r>
      <w:r w:rsidR="00162789">
        <w:rPr>
          <w:lang w:val="fr-FR"/>
        </w:rPr>
        <w:t>’</w:t>
      </w:r>
      <w:r w:rsidRPr="008F309E">
        <w:rPr>
          <w:lang w:val="fr-FR"/>
        </w:rPr>
        <w:t>absence d</w:t>
      </w:r>
      <w:r w:rsidR="00162789">
        <w:rPr>
          <w:lang w:val="fr-FR"/>
        </w:rPr>
        <w:t>’</w:t>
      </w:r>
      <w:r w:rsidRPr="008F309E">
        <w:rPr>
          <w:lang w:val="fr-FR"/>
        </w:rPr>
        <w:t xml:space="preserve">un tel remède pour le passé, tout grief à cet égard serait tardif pour les raisons indiquées aux paragraphes </w:t>
      </w:r>
      <w:r w:rsidR="007501D0">
        <w:rPr>
          <w:noProof/>
          <w:lang w:val="fr-FR"/>
        </w:rPr>
        <w:t>60</w:t>
      </w:r>
      <w:r w:rsidRPr="008F309E">
        <w:rPr>
          <w:lang w:val="fr-FR"/>
        </w:rPr>
        <w:t>-</w:t>
      </w:r>
      <w:r w:rsidR="007501D0">
        <w:rPr>
          <w:noProof/>
          <w:lang w:val="fr-FR"/>
        </w:rPr>
        <w:t>63</w:t>
      </w:r>
      <w:r w:rsidRPr="008F309E">
        <w:rPr>
          <w:lang w:val="fr-FR"/>
        </w:rPr>
        <w:t xml:space="preserve"> ci-dessus.</w:t>
      </w:r>
    </w:p>
    <w:p w:rsidR="008F5408" w:rsidRPr="008F309E" w:rsidRDefault="008F5408" w:rsidP="008F5408">
      <w:pPr>
        <w:pStyle w:val="ECHRHeading3"/>
        <w:rPr>
          <w:lang w:val="fr-FR"/>
        </w:rPr>
      </w:pPr>
      <w:r w:rsidRPr="008F309E">
        <w:rPr>
          <w:lang w:val="fr-FR"/>
        </w:rPr>
        <w:t>2.  Le requérant</w:t>
      </w:r>
    </w:p>
    <w:p w:rsidR="008F5408" w:rsidRPr="008F309E" w:rsidRDefault="008F5408"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86</w:t>
      </w:r>
      <w:r w:rsidRPr="008F309E">
        <w:rPr>
          <w:lang w:val="fr-FR"/>
        </w:rPr>
        <w:fldChar w:fldCharType="end"/>
      </w:r>
      <w:r w:rsidRPr="008F309E">
        <w:rPr>
          <w:lang w:val="fr-FR"/>
        </w:rPr>
        <w:t xml:space="preserve">.  Le requérant </w:t>
      </w:r>
      <w:r w:rsidR="00197EB0" w:rsidRPr="008F309E">
        <w:rPr>
          <w:lang w:val="fr-FR"/>
        </w:rPr>
        <w:t>souligne que dans le cadre de l</w:t>
      </w:r>
      <w:r w:rsidR="00162789">
        <w:rPr>
          <w:lang w:val="fr-FR"/>
        </w:rPr>
        <w:t>’</w:t>
      </w:r>
      <w:r w:rsidR="00197EB0" w:rsidRPr="008F309E">
        <w:rPr>
          <w:lang w:val="fr-FR"/>
        </w:rPr>
        <w:t>incident d</w:t>
      </w:r>
      <w:r w:rsidR="00162789">
        <w:rPr>
          <w:lang w:val="fr-FR"/>
        </w:rPr>
        <w:t>’</w:t>
      </w:r>
      <w:r w:rsidR="00197EB0" w:rsidRPr="008F309E">
        <w:rPr>
          <w:lang w:val="fr-FR"/>
        </w:rPr>
        <w:t>exécution, les juridictions nationales n</w:t>
      </w:r>
      <w:r w:rsidR="00162789">
        <w:rPr>
          <w:lang w:val="fr-FR"/>
        </w:rPr>
        <w:t>’</w:t>
      </w:r>
      <w:r w:rsidR="00197EB0" w:rsidRPr="008F309E">
        <w:rPr>
          <w:lang w:val="fr-FR"/>
        </w:rPr>
        <w:t>ont donné aucune réponse satisfaisante à ses doléances. Quant au</w:t>
      </w:r>
      <w:r w:rsidRPr="008F309E">
        <w:rPr>
          <w:lang w:val="fr-FR"/>
        </w:rPr>
        <w:t xml:space="preserve"> </w:t>
      </w:r>
      <w:r w:rsidR="004B42F8">
        <w:rPr>
          <w:lang w:val="fr-FR"/>
        </w:rPr>
        <w:t>recours</w:t>
      </w:r>
      <w:r w:rsidRPr="008F309E">
        <w:rPr>
          <w:lang w:val="fr-FR"/>
        </w:rPr>
        <w:t xml:space="preserve"> prévu par l</w:t>
      </w:r>
      <w:r w:rsidR="00162789">
        <w:rPr>
          <w:lang w:val="fr-FR"/>
        </w:rPr>
        <w:t>’</w:t>
      </w:r>
      <w:r w:rsidRPr="008F309E">
        <w:rPr>
          <w:lang w:val="fr-FR"/>
        </w:rPr>
        <w:t>article 175 § 2 du CPP</w:t>
      </w:r>
      <w:r w:rsidR="00197EB0" w:rsidRPr="008F309E">
        <w:rPr>
          <w:lang w:val="fr-FR"/>
        </w:rPr>
        <w:t>, il</w:t>
      </w:r>
      <w:r w:rsidRPr="008F309E">
        <w:rPr>
          <w:lang w:val="fr-FR"/>
        </w:rPr>
        <w:t xml:space="preserve"> n</w:t>
      </w:r>
      <w:r w:rsidR="00162789">
        <w:rPr>
          <w:lang w:val="fr-FR"/>
        </w:rPr>
        <w:t>’</w:t>
      </w:r>
      <w:r w:rsidRPr="008F309E">
        <w:rPr>
          <w:lang w:val="fr-FR"/>
        </w:rPr>
        <w:t>était ni accessible ni effectif à l</w:t>
      </w:r>
      <w:r w:rsidR="00162789">
        <w:rPr>
          <w:lang w:val="fr-FR"/>
        </w:rPr>
        <w:t>’</w:t>
      </w:r>
      <w:r w:rsidRPr="008F309E">
        <w:rPr>
          <w:lang w:val="fr-FR"/>
        </w:rPr>
        <w:t>époque de son premier procès. Jusqu</w:t>
      </w:r>
      <w:r w:rsidR="00162789">
        <w:rPr>
          <w:lang w:val="fr-FR"/>
        </w:rPr>
        <w:t>’</w:t>
      </w:r>
      <w:r w:rsidRPr="008F309E">
        <w:rPr>
          <w:lang w:val="fr-FR"/>
        </w:rPr>
        <w:t xml:space="preserve">à 2011, les tribunaux italiens auraient interprété la loi </w:t>
      </w:r>
      <w:r w:rsidR="00197EB0" w:rsidRPr="008F309E">
        <w:rPr>
          <w:lang w:val="fr-FR"/>
        </w:rPr>
        <w:t>nationale</w:t>
      </w:r>
      <w:r w:rsidRPr="008F309E">
        <w:rPr>
          <w:lang w:val="fr-FR"/>
        </w:rPr>
        <w:t xml:space="preserve"> de manière incompatible avec le droit à un procès équitable, niant ainsi le droit du requérant de participer à l</w:t>
      </w:r>
      <w:r w:rsidR="00162789">
        <w:rPr>
          <w:lang w:val="fr-FR"/>
        </w:rPr>
        <w:t>’</w:t>
      </w:r>
      <w:r w:rsidRPr="008F309E">
        <w:rPr>
          <w:lang w:val="fr-FR"/>
        </w:rPr>
        <w:t>audience et d</w:t>
      </w:r>
      <w:r w:rsidR="00162789">
        <w:rPr>
          <w:lang w:val="fr-FR"/>
        </w:rPr>
        <w:t>’</w:t>
      </w:r>
      <w:r w:rsidRPr="008F309E">
        <w:rPr>
          <w:lang w:val="fr-FR"/>
        </w:rPr>
        <w:t>obtenir un nouveau procès en sa présence.</w:t>
      </w:r>
    </w:p>
    <w:p w:rsidR="008F5408" w:rsidRPr="008F309E" w:rsidRDefault="008F5408" w:rsidP="008F5408">
      <w:pPr>
        <w:pStyle w:val="ECHRHeading2"/>
        <w:rPr>
          <w:lang w:val="fr-FR"/>
        </w:rPr>
      </w:pPr>
      <w:r w:rsidRPr="008F309E">
        <w:rPr>
          <w:lang w:val="fr-FR"/>
        </w:rPr>
        <w:lastRenderedPageBreak/>
        <w:t>B.  Appréciation de la Cour</w:t>
      </w:r>
    </w:p>
    <w:p w:rsidR="00081B7B" w:rsidRPr="008F309E" w:rsidRDefault="008F5408"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87</w:t>
      </w:r>
      <w:r w:rsidRPr="008F309E">
        <w:rPr>
          <w:lang w:val="fr-FR"/>
        </w:rPr>
        <w:fldChar w:fldCharType="end"/>
      </w:r>
      <w:r w:rsidRPr="008F309E">
        <w:rPr>
          <w:lang w:val="fr-FR"/>
        </w:rPr>
        <w:t xml:space="preserve">.  La Cour </w:t>
      </w:r>
      <w:r w:rsidR="00081B7B" w:rsidRPr="008F309E">
        <w:rPr>
          <w:lang w:val="fr-FR"/>
        </w:rPr>
        <w:t>n</w:t>
      </w:r>
      <w:r w:rsidR="00162789">
        <w:rPr>
          <w:lang w:val="fr-FR"/>
        </w:rPr>
        <w:t>’</w:t>
      </w:r>
      <w:r w:rsidR="00081B7B" w:rsidRPr="008F309E">
        <w:rPr>
          <w:lang w:val="fr-FR"/>
        </w:rPr>
        <w:t>estime pas nécessaire de se pencher sur les questions de savoir s</w:t>
      </w:r>
      <w:r w:rsidR="00162789">
        <w:rPr>
          <w:lang w:val="fr-FR"/>
        </w:rPr>
        <w:t>’</w:t>
      </w:r>
      <w:r w:rsidR="00081B7B" w:rsidRPr="008F309E">
        <w:rPr>
          <w:lang w:val="fr-FR"/>
        </w:rPr>
        <w:t>il y a eu dépassement du délai de six mois prévu à l</w:t>
      </w:r>
      <w:r w:rsidR="00162789">
        <w:rPr>
          <w:lang w:val="fr-FR"/>
        </w:rPr>
        <w:t>’</w:t>
      </w:r>
      <w:r w:rsidR="00081B7B" w:rsidRPr="008F309E">
        <w:rPr>
          <w:lang w:val="fr-FR"/>
        </w:rPr>
        <w:t>article 35 § 1 de la Convention ou si l</w:t>
      </w:r>
      <w:r w:rsidR="00162789">
        <w:rPr>
          <w:lang w:val="fr-FR"/>
        </w:rPr>
        <w:t>’</w:t>
      </w:r>
      <w:r w:rsidR="00081B7B" w:rsidRPr="008F309E">
        <w:rPr>
          <w:lang w:val="fr-FR"/>
        </w:rPr>
        <w:t>article 13 trouve à s</w:t>
      </w:r>
      <w:r w:rsidR="00162789">
        <w:rPr>
          <w:lang w:val="fr-FR"/>
        </w:rPr>
        <w:t>’</w:t>
      </w:r>
      <w:r w:rsidR="00081B7B" w:rsidRPr="008F309E">
        <w:rPr>
          <w:lang w:val="fr-FR"/>
        </w:rPr>
        <w:t>appliquer en l</w:t>
      </w:r>
      <w:r w:rsidR="00162789">
        <w:rPr>
          <w:lang w:val="fr-FR"/>
        </w:rPr>
        <w:t>’</w:t>
      </w:r>
      <w:r w:rsidR="00081B7B" w:rsidRPr="008F309E">
        <w:rPr>
          <w:lang w:val="fr-FR"/>
        </w:rPr>
        <w:t>espèce, ce grief étant de toute manière irrecevable pour les raisons suivantes.</w:t>
      </w:r>
    </w:p>
    <w:p w:rsidR="008F5408" w:rsidRPr="008F309E" w:rsidRDefault="00081B7B"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88</w:t>
      </w:r>
      <w:r w:rsidRPr="008F309E">
        <w:rPr>
          <w:lang w:val="fr-FR"/>
        </w:rPr>
        <w:fldChar w:fldCharType="end"/>
      </w:r>
      <w:r w:rsidRPr="008F309E">
        <w:rPr>
          <w:lang w:val="fr-FR"/>
        </w:rPr>
        <w:t xml:space="preserve">.  Elle </w:t>
      </w:r>
      <w:r w:rsidR="008F5408" w:rsidRPr="008F309E">
        <w:rPr>
          <w:lang w:val="fr-FR"/>
        </w:rPr>
        <w:t>rappelle que l</w:t>
      </w:r>
      <w:r w:rsidR="00162789">
        <w:rPr>
          <w:lang w:val="fr-FR"/>
        </w:rPr>
        <w:t>’</w:t>
      </w:r>
      <w:r w:rsidR="008F5408" w:rsidRPr="008F309E">
        <w:rPr>
          <w:lang w:val="fr-FR"/>
        </w:rPr>
        <w:t>article 13 garantit l</w:t>
      </w:r>
      <w:r w:rsidR="00162789">
        <w:rPr>
          <w:lang w:val="fr-FR"/>
        </w:rPr>
        <w:t>’</w:t>
      </w:r>
      <w:r w:rsidR="008F5408" w:rsidRPr="008F309E">
        <w:rPr>
          <w:lang w:val="fr-FR"/>
        </w:rPr>
        <w:t>existence en droit interne d</w:t>
      </w:r>
      <w:r w:rsidR="00162789">
        <w:rPr>
          <w:lang w:val="fr-FR"/>
        </w:rPr>
        <w:t>’</w:t>
      </w:r>
      <w:r w:rsidR="008F5408" w:rsidRPr="008F309E">
        <w:rPr>
          <w:lang w:val="fr-FR"/>
        </w:rPr>
        <w:t>un recours permettant de se prévaloir des droits et libertés de la Convention tels qu</w:t>
      </w:r>
      <w:r w:rsidR="00162789">
        <w:rPr>
          <w:lang w:val="fr-FR"/>
        </w:rPr>
        <w:t>’</w:t>
      </w:r>
      <w:r w:rsidR="008F5408" w:rsidRPr="008F309E">
        <w:rPr>
          <w:lang w:val="fr-FR"/>
        </w:rPr>
        <w:t>ils y sont consacrés. Cette disposition a donc pour conséquence d</w:t>
      </w:r>
      <w:r w:rsidR="00162789">
        <w:rPr>
          <w:lang w:val="fr-FR"/>
        </w:rPr>
        <w:t>’</w:t>
      </w:r>
      <w:r w:rsidR="008F5408" w:rsidRPr="008F309E">
        <w:rPr>
          <w:lang w:val="fr-FR"/>
        </w:rPr>
        <w:t>exiger un recours interne habilitant à examiner le contenu d</w:t>
      </w:r>
      <w:r w:rsidR="00162789">
        <w:rPr>
          <w:lang w:val="fr-FR"/>
        </w:rPr>
        <w:t>’</w:t>
      </w:r>
      <w:r w:rsidR="008F5408" w:rsidRPr="008F309E">
        <w:rPr>
          <w:lang w:val="fr-FR"/>
        </w:rPr>
        <w:t>un « grief défendable » fondé sur la Convention et à en offrir le redressement approprié (</w:t>
      </w:r>
      <w:r w:rsidR="0021617B">
        <w:rPr>
          <w:i/>
          <w:color w:val="000000"/>
          <w:lang w:val="fr-FR"/>
        </w:rPr>
        <w:t>De Souza </w:t>
      </w:r>
      <w:r w:rsidR="008F5408" w:rsidRPr="008F309E">
        <w:rPr>
          <w:i/>
          <w:color w:val="000000"/>
          <w:lang w:val="fr-FR"/>
        </w:rPr>
        <w:t>Ribeiro c.</w:t>
      </w:r>
      <w:r w:rsidR="006E1E70">
        <w:rPr>
          <w:i/>
          <w:color w:val="000000"/>
          <w:lang w:val="fr-FR"/>
        </w:rPr>
        <w:t xml:space="preserve"> </w:t>
      </w:r>
      <w:r w:rsidR="008F5408" w:rsidRPr="008F309E">
        <w:rPr>
          <w:i/>
          <w:color w:val="000000"/>
          <w:lang w:val="fr-FR"/>
        </w:rPr>
        <w:t xml:space="preserve">France </w:t>
      </w:r>
      <w:r w:rsidR="008F5408" w:rsidRPr="008F309E">
        <w:rPr>
          <w:color w:val="000000"/>
          <w:lang w:val="fr-FR"/>
        </w:rPr>
        <w:t>[GC], n</w:t>
      </w:r>
      <w:r w:rsidR="008F5408" w:rsidRPr="008F309E">
        <w:rPr>
          <w:color w:val="000000"/>
          <w:vertAlign w:val="superscript"/>
          <w:lang w:val="fr-FR"/>
        </w:rPr>
        <w:t>o</w:t>
      </w:r>
      <w:r w:rsidR="008F5408" w:rsidRPr="008F309E">
        <w:rPr>
          <w:color w:val="000000"/>
          <w:lang w:val="fr-FR"/>
        </w:rPr>
        <w:t xml:space="preserve"> 22689/07, §</w:t>
      </w:r>
      <w:r w:rsidR="006E1E70">
        <w:rPr>
          <w:color w:val="000000"/>
          <w:lang w:val="fr-FR"/>
        </w:rPr>
        <w:t xml:space="preserve"> </w:t>
      </w:r>
      <w:r w:rsidR="008F5408" w:rsidRPr="008F309E">
        <w:rPr>
          <w:color w:val="000000"/>
          <w:lang w:val="fr-FR"/>
        </w:rPr>
        <w:t>78, 13 décembre 2012)</w:t>
      </w:r>
      <w:r w:rsidR="008F5408" w:rsidRPr="008F309E">
        <w:rPr>
          <w:lang w:val="fr-FR"/>
        </w:rPr>
        <w:t>.</w:t>
      </w:r>
    </w:p>
    <w:p w:rsidR="008F5408" w:rsidRPr="008F309E" w:rsidRDefault="008F5408"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89</w:t>
      </w:r>
      <w:r w:rsidRPr="008F309E">
        <w:rPr>
          <w:lang w:val="fr-FR"/>
        </w:rPr>
        <w:fldChar w:fldCharType="end"/>
      </w:r>
      <w:r w:rsidRPr="008F309E">
        <w:rPr>
          <w:lang w:val="fr-FR"/>
        </w:rPr>
        <w:t>.  La Cour rappelle que la portée de l</w:t>
      </w:r>
      <w:r w:rsidR="00162789">
        <w:rPr>
          <w:lang w:val="fr-FR"/>
        </w:rPr>
        <w:t>’</w:t>
      </w:r>
      <w:r w:rsidRPr="008F309E">
        <w:rPr>
          <w:lang w:val="fr-FR"/>
        </w:rPr>
        <w:t>obligation que l</w:t>
      </w:r>
      <w:r w:rsidR="00162789">
        <w:rPr>
          <w:lang w:val="fr-FR"/>
        </w:rPr>
        <w:t>’</w:t>
      </w:r>
      <w:r w:rsidRPr="008F309E">
        <w:rPr>
          <w:lang w:val="fr-FR"/>
        </w:rPr>
        <w:t>article 13 de la Convention fait peser sur les États contractants varie en fonction de la nature du grief du requérant. Les États jouissent en effet d</w:t>
      </w:r>
      <w:r w:rsidR="00162789">
        <w:rPr>
          <w:lang w:val="fr-FR"/>
        </w:rPr>
        <w:t>’</w:t>
      </w:r>
      <w:r w:rsidRPr="008F309E">
        <w:rPr>
          <w:lang w:val="fr-FR"/>
        </w:rPr>
        <w:t>une certaine marge d</w:t>
      </w:r>
      <w:r w:rsidR="00162789">
        <w:rPr>
          <w:lang w:val="fr-FR"/>
        </w:rPr>
        <w:t>’</w:t>
      </w:r>
      <w:r w:rsidRPr="008F309E">
        <w:rPr>
          <w:lang w:val="fr-FR"/>
        </w:rPr>
        <w:t>appréciation quant à la manière de se conformer aux obligations que leur impose cette disposition (</w:t>
      </w:r>
      <w:r w:rsidR="00A33BFE" w:rsidRPr="008F309E">
        <w:rPr>
          <w:i/>
          <w:lang w:val="fr-FR"/>
        </w:rPr>
        <w:t>Rotaru c.</w:t>
      </w:r>
      <w:r w:rsidR="006E1E70">
        <w:rPr>
          <w:i/>
          <w:lang w:val="fr-FR"/>
        </w:rPr>
        <w:t xml:space="preserve"> </w:t>
      </w:r>
      <w:r w:rsidR="00A33BFE" w:rsidRPr="008F309E">
        <w:rPr>
          <w:i/>
          <w:lang w:val="fr-FR"/>
        </w:rPr>
        <w:t>Roumanie</w:t>
      </w:r>
      <w:r w:rsidR="00A33BFE" w:rsidRPr="008F309E">
        <w:rPr>
          <w:lang w:val="fr-FR"/>
        </w:rPr>
        <w:t xml:space="preserve"> [GC], n</w:t>
      </w:r>
      <w:r w:rsidR="00A33BFE" w:rsidRPr="008F309E">
        <w:rPr>
          <w:vertAlign w:val="superscript"/>
          <w:lang w:val="fr-FR"/>
        </w:rPr>
        <w:t>o</w:t>
      </w:r>
      <w:r w:rsidR="006E1E70">
        <w:rPr>
          <w:vertAlign w:val="superscript"/>
          <w:lang w:val="fr-FR"/>
        </w:rPr>
        <w:t xml:space="preserve"> </w:t>
      </w:r>
      <w:r w:rsidR="00A33BFE" w:rsidRPr="008F309E">
        <w:rPr>
          <w:lang w:val="fr-FR"/>
        </w:rPr>
        <w:t>28341/95, § 67, CEDH 2000-V, et</w:t>
      </w:r>
      <w:r w:rsidR="00A33BFE" w:rsidRPr="008F309E">
        <w:rPr>
          <w:i/>
          <w:lang w:val="fr-FR"/>
        </w:rPr>
        <w:t xml:space="preserve"> </w:t>
      </w:r>
      <w:r w:rsidRPr="008F309E">
        <w:rPr>
          <w:i/>
          <w:lang w:val="fr-FR"/>
        </w:rPr>
        <w:t>Jabari c.</w:t>
      </w:r>
      <w:r w:rsidR="006E1E70">
        <w:rPr>
          <w:i/>
          <w:lang w:val="fr-FR"/>
        </w:rPr>
        <w:t xml:space="preserve"> </w:t>
      </w:r>
      <w:r w:rsidRPr="008F309E">
        <w:rPr>
          <w:i/>
          <w:lang w:val="fr-FR"/>
        </w:rPr>
        <w:t>Turquie</w:t>
      </w:r>
      <w:r w:rsidRPr="008F309E">
        <w:rPr>
          <w:lang w:val="fr-FR"/>
        </w:rPr>
        <w:t>, n</w:t>
      </w:r>
      <w:r w:rsidRPr="008F309E">
        <w:rPr>
          <w:vertAlign w:val="superscript"/>
          <w:lang w:val="fr-FR"/>
        </w:rPr>
        <w:t>o</w:t>
      </w:r>
      <w:r w:rsidR="006E1E70">
        <w:rPr>
          <w:vertAlign w:val="superscript"/>
          <w:lang w:val="fr-FR"/>
        </w:rPr>
        <w:t xml:space="preserve"> </w:t>
      </w:r>
      <w:r w:rsidR="0021617B">
        <w:rPr>
          <w:lang w:val="fr-FR"/>
        </w:rPr>
        <w:t>40035/98, §</w:t>
      </w:r>
      <w:r w:rsidR="006E1E70">
        <w:rPr>
          <w:lang w:val="fr-FR"/>
        </w:rPr>
        <w:t xml:space="preserve"> </w:t>
      </w:r>
      <w:r w:rsidR="0021617B">
        <w:rPr>
          <w:lang w:val="fr-FR"/>
        </w:rPr>
        <w:t>48, CEDH 2000</w:t>
      </w:r>
      <w:r w:rsidR="0021617B">
        <w:rPr>
          <w:lang w:val="fr-FR"/>
        </w:rPr>
        <w:noBreakHyphen/>
      </w:r>
      <w:r w:rsidRPr="008F309E">
        <w:rPr>
          <w:lang w:val="fr-FR"/>
        </w:rPr>
        <w:t>VIII). Toutefois, le recours exigé par cet article doit être « effectif » en pratique comme en droit (</w:t>
      </w:r>
      <w:r w:rsidR="00081B7B" w:rsidRPr="008F309E">
        <w:rPr>
          <w:i/>
          <w:lang w:val="fr-FR"/>
        </w:rPr>
        <w:t>Wille c. Liechtenstein</w:t>
      </w:r>
      <w:r w:rsidR="0021617B">
        <w:rPr>
          <w:lang w:val="fr-FR"/>
        </w:rPr>
        <w:t xml:space="preserve"> [GC], no </w:t>
      </w:r>
      <w:r w:rsidR="009A795C">
        <w:rPr>
          <w:lang w:val="fr-FR"/>
        </w:rPr>
        <w:t>28396/95, § 75, CEDH </w:t>
      </w:r>
      <w:r w:rsidR="00081B7B" w:rsidRPr="008F309E">
        <w:rPr>
          <w:lang w:val="fr-FR"/>
        </w:rPr>
        <w:t xml:space="preserve">1999-VII, et </w:t>
      </w:r>
      <w:r w:rsidRPr="008F309E">
        <w:rPr>
          <w:i/>
          <w:lang w:val="fr-FR"/>
        </w:rPr>
        <w:t>Kudła c.</w:t>
      </w:r>
      <w:r w:rsidR="006E1E70">
        <w:rPr>
          <w:i/>
          <w:lang w:val="fr-FR"/>
        </w:rPr>
        <w:t xml:space="preserve"> </w:t>
      </w:r>
      <w:r w:rsidRPr="008F309E">
        <w:rPr>
          <w:i/>
          <w:lang w:val="fr-FR"/>
        </w:rPr>
        <w:t>Pologne</w:t>
      </w:r>
      <w:r w:rsidR="006E1E70">
        <w:rPr>
          <w:i/>
          <w:lang w:val="fr-FR"/>
        </w:rPr>
        <w:t xml:space="preserve"> </w:t>
      </w:r>
      <w:r w:rsidRPr="008F309E">
        <w:rPr>
          <w:lang w:val="fr-FR"/>
        </w:rPr>
        <w:t>[GC], n</w:t>
      </w:r>
      <w:r w:rsidRPr="008F309E">
        <w:rPr>
          <w:vertAlign w:val="superscript"/>
          <w:lang w:val="fr-FR"/>
        </w:rPr>
        <w:t>o </w:t>
      </w:r>
      <w:r w:rsidR="009A795C">
        <w:rPr>
          <w:lang w:val="fr-FR"/>
        </w:rPr>
        <w:t>30210/96, § 157, CEDH </w:t>
      </w:r>
      <w:r w:rsidRPr="008F309E">
        <w:rPr>
          <w:lang w:val="fr-FR"/>
        </w:rPr>
        <w:t>2000-XI).</w:t>
      </w:r>
    </w:p>
    <w:p w:rsidR="008F5408" w:rsidRPr="008F309E" w:rsidRDefault="008F5408" w:rsidP="008F5408">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90</w:t>
      </w:r>
      <w:r w:rsidRPr="008F309E">
        <w:rPr>
          <w:lang w:val="fr-FR"/>
        </w:rPr>
        <w:fldChar w:fldCharType="end"/>
      </w:r>
      <w:r w:rsidRPr="008F309E">
        <w:rPr>
          <w:lang w:val="fr-FR"/>
        </w:rPr>
        <w:t>.  La Cour souligne que l</w:t>
      </w:r>
      <w:r w:rsidR="00162789">
        <w:rPr>
          <w:lang w:val="fr-FR"/>
        </w:rPr>
        <w:t>’</w:t>
      </w:r>
      <w:r w:rsidRPr="008F309E">
        <w:rPr>
          <w:lang w:val="fr-FR"/>
        </w:rPr>
        <w:t>effectivité d</w:t>
      </w:r>
      <w:r w:rsidR="00162789">
        <w:rPr>
          <w:lang w:val="fr-FR"/>
        </w:rPr>
        <w:t>’</w:t>
      </w:r>
      <w:r w:rsidRPr="008F309E">
        <w:rPr>
          <w:lang w:val="fr-FR"/>
        </w:rPr>
        <w:t>un recours au sens de l</w:t>
      </w:r>
      <w:r w:rsidR="00162789">
        <w:rPr>
          <w:lang w:val="fr-FR"/>
        </w:rPr>
        <w:t>’</w:t>
      </w:r>
      <w:r w:rsidRPr="008F309E">
        <w:rPr>
          <w:lang w:val="fr-FR"/>
        </w:rPr>
        <w:t>article 13 de la Convention ne dépend pas de la certitude d</w:t>
      </w:r>
      <w:r w:rsidR="00162789">
        <w:rPr>
          <w:lang w:val="fr-FR"/>
        </w:rPr>
        <w:t>’</w:t>
      </w:r>
      <w:r w:rsidRPr="008F309E">
        <w:rPr>
          <w:lang w:val="fr-FR"/>
        </w:rPr>
        <w:t xml:space="preserve">une issue favorable pour le requérant </w:t>
      </w:r>
      <w:r w:rsidR="00081B7B" w:rsidRPr="008F309E">
        <w:rPr>
          <w:lang w:val="fr-FR"/>
        </w:rPr>
        <w:t>(</w:t>
      </w:r>
      <w:r w:rsidRPr="008F309E">
        <w:rPr>
          <w:i/>
          <w:color w:val="000000"/>
          <w:lang w:val="fr-FR"/>
        </w:rPr>
        <w:t>De</w:t>
      </w:r>
      <w:r w:rsidR="006E1E70">
        <w:rPr>
          <w:i/>
          <w:color w:val="000000"/>
          <w:lang w:val="fr-FR"/>
        </w:rPr>
        <w:t xml:space="preserve"> </w:t>
      </w:r>
      <w:r w:rsidRPr="008F309E">
        <w:rPr>
          <w:i/>
          <w:color w:val="000000"/>
          <w:lang w:val="fr-FR"/>
        </w:rPr>
        <w:t>Souza Ribeiro</w:t>
      </w:r>
      <w:r w:rsidRPr="008F309E">
        <w:rPr>
          <w:color w:val="000000"/>
          <w:lang w:val="fr-FR"/>
        </w:rPr>
        <w:t>, précité, § 79</w:t>
      </w:r>
      <w:r w:rsidR="00081B7B" w:rsidRPr="008F309E">
        <w:rPr>
          <w:color w:val="000000"/>
          <w:lang w:val="fr-FR"/>
        </w:rPr>
        <w:t>,</w:t>
      </w:r>
      <w:r w:rsidRPr="008F309E">
        <w:rPr>
          <w:color w:val="000000"/>
          <w:lang w:val="fr-FR"/>
        </w:rPr>
        <w:t xml:space="preserve"> et </w:t>
      </w:r>
      <w:r w:rsidRPr="008F309E">
        <w:rPr>
          <w:i/>
          <w:color w:val="000000"/>
          <w:lang w:val="fr-FR"/>
        </w:rPr>
        <w:t>Ceni c.</w:t>
      </w:r>
      <w:r w:rsidR="006E1E70">
        <w:rPr>
          <w:i/>
          <w:color w:val="000000"/>
          <w:lang w:val="fr-FR"/>
        </w:rPr>
        <w:t xml:space="preserve"> </w:t>
      </w:r>
      <w:r w:rsidRPr="008F309E">
        <w:rPr>
          <w:i/>
          <w:color w:val="000000"/>
          <w:lang w:val="fr-FR"/>
        </w:rPr>
        <w:t xml:space="preserve">Italie </w:t>
      </w:r>
      <w:r w:rsidRPr="008F309E">
        <w:rPr>
          <w:color w:val="000000"/>
          <w:lang w:val="fr-FR"/>
        </w:rPr>
        <w:t>(fond), n</w:t>
      </w:r>
      <w:r w:rsidR="005559D3" w:rsidRPr="005559D3">
        <w:rPr>
          <w:color w:val="000000"/>
          <w:vertAlign w:val="superscript"/>
          <w:lang w:val="fr-FR"/>
        </w:rPr>
        <w:t>o</w:t>
      </w:r>
      <w:r w:rsidR="009A795C">
        <w:rPr>
          <w:color w:val="000000"/>
          <w:lang w:val="fr-FR"/>
        </w:rPr>
        <w:t> </w:t>
      </w:r>
      <w:r w:rsidRPr="008F309E">
        <w:rPr>
          <w:color w:val="000000"/>
          <w:lang w:val="fr-FR"/>
        </w:rPr>
        <w:t xml:space="preserve">25376/06, § 97, </w:t>
      </w:r>
      <w:r w:rsidRPr="008F309E">
        <w:rPr>
          <w:szCs w:val="24"/>
          <w:lang w:val="fr-FR"/>
        </w:rPr>
        <w:t>4 février 2014</w:t>
      </w:r>
      <w:r w:rsidRPr="008F309E">
        <w:rPr>
          <w:lang w:val="fr-FR"/>
        </w:rPr>
        <w:t>).</w:t>
      </w:r>
    </w:p>
    <w:p w:rsidR="00E77CB3" w:rsidRPr="008F309E" w:rsidRDefault="00081B7B" w:rsidP="00C6399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91</w:t>
      </w:r>
      <w:r w:rsidRPr="008F309E">
        <w:rPr>
          <w:lang w:val="fr-FR"/>
        </w:rPr>
        <w:fldChar w:fldCharType="end"/>
      </w:r>
      <w:r w:rsidRPr="008F309E">
        <w:rPr>
          <w:lang w:val="fr-FR"/>
        </w:rPr>
        <w:t>.  </w:t>
      </w:r>
      <w:r w:rsidR="00194A85" w:rsidRPr="008F309E">
        <w:rPr>
          <w:lang w:val="fr-FR"/>
        </w:rPr>
        <w:t>En l</w:t>
      </w:r>
      <w:r w:rsidR="00162789">
        <w:rPr>
          <w:lang w:val="fr-FR"/>
        </w:rPr>
        <w:t>’</w:t>
      </w:r>
      <w:r w:rsidR="00194A85" w:rsidRPr="008F309E">
        <w:rPr>
          <w:lang w:val="fr-FR"/>
        </w:rPr>
        <w:t>espèce, la Cour note qu</w:t>
      </w:r>
      <w:r w:rsidR="00162789">
        <w:rPr>
          <w:lang w:val="fr-FR"/>
        </w:rPr>
        <w:t>’</w:t>
      </w:r>
      <w:r w:rsidR="00194A85" w:rsidRPr="008F309E">
        <w:rPr>
          <w:lang w:val="fr-FR"/>
        </w:rPr>
        <w:t>à l</w:t>
      </w:r>
      <w:r w:rsidR="00162789">
        <w:rPr>
          <w:lang w:val="fr-FR"/>
        </w:rPr>
        <w:t>’</w:t>
      </w:r>
      <w:r w:rsidR="00194A85" w:rsidRPr="008F309E">
        <w:rPr>
          <w:lang w:val="fr-FR"/>
        </w:rPr>
        <w:t>audience du 7 mai 1997 devant la cour d</w:t>
      </w:r>
      <w:r w:rsidR="00162789">
        <w:rPr>
          <w:lang w:val="fr-FR"/>
        </w:rPr>
        <w:t>’</w:t>
      </w:r>
      <w:r w:rsidR="00194A85" w:rsidRPr="008F309E">
        <w:rPr>
          <w:lang w:val="fr-FR"/>
        </w:rPr>
        <w:t>assises de Cosenza, l</w:t>
      </w:r>
      <w:r w:rsidR="00162789">
        <w:rPr>
          <w:lang w:val="fr-FR"/>
        </w:rPr>
        <w:t>’</w:t>
      </w:r>
      <w:r w:rsidR="00194A85" w:rsidRPr="008F309E">
        <w:rPr>
          <w:lang w:val="fr-FR"/>
        </w:rPr>
        <w:t>avocat du requérant a pu demander la révocation de la décision de juger son client par contumace, au motif que celui-ci était détenu sous écrou extraditionnel au Brésil. Il a réitéré cette demande à l</w:t>
      </w:r>
      <w:r w:rsidR="00162789">
        <w:rPr>
          <w:lang w:val="fr-FR"/>
        </w:rPr>
        <w:t>’</w:t>
      </w:r>
      <w:r w:rsidR="00194A85" w:rsidRPr="008F309E">
        <w:rPr>
          <w:lang w:val="fr-FR"/>
        </w:rPr>
        <w:t xml:space="preserve">audience suivante, tenue le 8 mai 1997 (paragraphes </w:t>
      </w:r>
      <w:r w:rsidR="007501D0">
        <w:rPr>
          <w:noProof/>
          <w:lang w:val="fr-FR"/>
        </w:rPr>
        <w:t>12</w:t>
      </w:r>
      <w:r w:rsidR="005F5B89" w:rsidRPr="008F309E">
        <w:rPr>
          <w:lang w:val="fr-FR"/>
        </w:rPr>
        <w:t xml:space="preserve"> et </w:t>
      </w:r>
      <w:r w:rsidR="007501D0">
        <w:rPr>
          <w:rFonts w:cstheme="minorHAnsi"/>
          <w:noProof/>
          <w:lang w:val="fr-FR"/>
        </w:rPr>
        <w:t>13</w:t>
      </w:r>
      <w:r w:rsidR="00194A85" w:rsidRPr="008F309E">
        <w:rPr>
          <w:lang w:val="fr-FR"/>
        </w:rPr>
        <w:t xml:space="preserve"> ci-dessus). En outre, ledit avocat a pu développer ses arguments tirés d</w:t>
      </w:r>
      <w:r w:rsidR="00162789">
        <w:rPr>
          <w:lang w:val="fr-FR"/>
        </w:rPr>
        <w:t>’</w:t>
      </w:r>
      <w:r w:rsidR="00194A85" w:rsidRPr="008F309E">
        <w:rPr>
          <w:lang w:val="fr-FR"/>
        </w:rPr>
        <w:t>une violation du droit de participer à l</w:t>
      </w:r>
      <w:r w:rsidR="00162789">
        <w:rPr>
          <w:lang w:val="fr-FR"/>
        </w:rPr>
        <w:t>’</w:t>
      </w:r>
      <w:r w:rsidR="00194A85" w:rsidRPr="008F309E">
        <w:rPr>
          <w:lang w:val="fr-FR"/>
        </w:rPr>
        <w:t>audience dans ses moyens d</w:t>
      </w:r>
      <w:r w:rsidR="00162789">
        <w:rPr>
          <w:lang w:val="fr-FR"/>
        </w:rPr>
        <w:t>’</w:t>
      </w:r>
      <w:r w:rsidR="00194A85" w:rsidRPr="008F309E">
        <w:rPr>
          <w:lang w:val="fr-FR"/>
        </w:rPr>
        <w:t xml:space="preserve">appel et de pourvoi en cassation (paragraphes </w:t>
      </w:r>
      <w:r w:rsidR="007501D0">
        <w:rPr>
          <w:noProof/>
          <w:lang w:val="fr-FR"/>
        </w:rPr>
        <w:t>17</w:t>
      </w:r>
      <w:r w:rsidR="005F5B89" w:rsidRPr="008F309E">
        <w:rPr>
          <w:lang w:val="fr-FR"/>
        </w:rPr>
        <w:t xml:space="preserve"> et </w:t>
      </w:r>
      <w:r w:rsidR="007501D0">
        <w:rPr>
          <w:noProof/>
          <w:lang w:val="fr-FR"/>
        </w:rPr>
        <w:t>22</w:t>
      </w:r>
      <w:r w:rsidR="00194A85" w:rsidRPr="008F309E">
        <w:rPr>
          <w:lang w:val="fr-FR"/>
        </w:rPr>
        <w:t xml:space="preserve"> ci-dessus). </w:t>
      </w:r>
      <w:r w:rsidR="00A33BFE" w:rsidRPr="008F309E">
        <w:rPr>
          <w:lang w:val="fr-FR"/>
        </w:rPr>
        <w:t>En cas d</w:t>
      </w:r>
      <w:r w:rsidR="00162789">
        <w:rPr>
          <w:lang w:val="fr-FR"/>
        </w:rPr>
        <w:t>’</w:t>
      </w:r>
      <w:r w:rsidR="00A33BFE" w:rsidRPr="008F309E">
        <w:rPr>
          <w:lang w:val="fr-FR"/>
        </w:rPr>
        <w:t>acceptation de ces arguments, l</w:t>
      </w:r>
      <w:r w:rsidR="00194A85" w:rsidRPr="008F309E">
        <w:rPr>
          <w:lang w:val="fr-FR"/>
        </w:rPr>
        <w:t>es juridictions internes avaient la faculté de révoquer la déclaration de fuite et/ou d</w:t>
      </w:r>
      <w:r w:rsidR="00162789">
        <w:rPr>
          <w:lang w:val="fr-FR"/>
        </w:rPr>
        <w:t>’</w:t>
      </w:r>
      <w:r w:rsidR="00194A85" w:rsidRPr="008F309E">
        <w:rPr>
          <w:lang w:val="fr-FR"/>
        </w:rPr>
        <w:t>annuler la condamnation par contumace.</w:t>
      </w:r>
    </w:p>
    <w:p w:rsidR="005F5B89" w:rsidRPr="008F309E" w:rsidRDefault="005F5B89" w:rsidP="00C6399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92</w:t>
      </w:r>
      <w:r w:rsidRPr="008F309E">
        <w:rPr>
          <w:lang w:val="fr-FR"/>
        </w:rPr>
        <w:fldChar w:fldCharType="end"/>
      </w:r>
      <w:r w:rsidRPr="008F309E">
        <w:rPr>
          <w:lang w:val="fr-FR"/>
        </w:rPr>
        <w:t>.  Le requérant avait donc à sa disposition des recours effectifs pour faire valoir au niveau interne son grief tiré d</w:t>
      </w:r>
      <w:r w:rsidR="00162789">
        <w:rPr>
          <w:lang w:val="fr-FR"/>
        </w:rPr>
        <w:t>’</w:t>
      </w:r>
      <w:r w:rsidRPr="008F309E">
        <w:rPr>
          <w:lang w:val="fr-FR"/>
        </w:rPr>
        <w:t>une méconnaissance de l</w:t>
      </w:r>
      <w:r w:rsidR="00162789">
        <w:rPr>
          <w:lang w:val="fr-FR"/>
        </w:rPr>
        <w:t>’</w:t>
      </w:r>
      <w:r w:rsidRPr="008F309E">
        <w:rPr>
          <w:lang w:val="fr-FR"/>
        </w:rPr>
        <w:t>article 6 de la Convention. La circonstance qu</w:t>
      </w:r>
      <w:r w:rsidR="00162789">
        <w:rPr>
          <w:lang w:val="fr-FR"/>
        </w:rPr>
        <w:t>’</w:t>
      </w:r>
      <w:r w:rsidRPr="008F309E">
        <w:rPr>
          <w:lang w:val="fr-FR"/>
        </w:rPr>
        <w:t>en l</w:t>
      </w:r>
      <w:r w:rsidR="00162789">
        <w:rPr>
          <w:lang w:val="fr-FR"/>
        </w:rPr>
        <w:t>’</w:t>
      </w:r>
      <w:r w:rsidRPr="008F309E">
        <w:rPr>
          <w:lang w:val="fr-FR"/>
        </w:rPr>
        <w:t xml:space="preserve">espèce ses demandes </w:t>
      </w:r>
      <w:r w:rsidR="00A33BFE" w:rsidRPr="008F309E">
        <w:rPr>
          <w:lang w:val="fr-FR"/>
        </w:rPr>
        <w:t>o</w:t>
      </w:r>
      <w:r w:rsidRPr="008F309E">
        <w:rPr>
          <w:lang w:val="fr-FR"/>
        </w:rPr>
        <w:t>nt été rejetées car il a été estimé que l</w:t>
      </w:r>
      <w:r w:rsidR="00162789">
        <w:rPr>
          <w:lang w:val="fr-FR"/>
        </w:rPr>
        <w:t>’</w:t>
      </w:r>
      <w:r w:rsidRPr="008F309E">
        <w:rPr>
          <w:lang w:val="fr-FR"/>
        </w:rPr>
        <w:t>opposition à la demande d</w:t>
      </w:r>
      <w:r w:rsidR="00162789">
        <w:rPr>
          <w:lang w:val="fr-FR"/>
        </w:rPr>
        <w:t>’</w:t>
      </w:r>
      <w:r w:rsidRPr="008F309E">
        <w:rPr>
          <w:lang w:val="fr-FR"/>
        </w:rPr>
        <w:t>extradition ne permettait pas d</w:t>
      </w:r>
      <w:r w:rsidR="00162789">
        <w:rPr>
          <w:lang w:val="fr-FR"/>
        </w:rPr>
        <w:t>’</w:t>
      </w:r>
      <w:r w:rsidRPr="008F309E">
        <w:rPr>
          <w:lang w:val="fr-FR"/>
        </w:rPr>
        <w:t>ajourner les débats</w:t>
      </w:r>
      <w:r w:rsidR="00A33BFE" w:rsidRPr="008F309E">
        <w:rPr>
          <w:lang w:val="fr-FR"/>
        </w:rPr>
        <w:t>,</w:t>
      </w:r>
      <w:r w:rsidRPr="008F309E">
        <w:rPr>
          <w:lang w:val="fr-FR"/>
        </w:rPr>
        <w:t xml:space="preserve"> ne saurait priver les recours en question de leur caractère « effectif » au sens de l</w:t>
      </w:r>
      <w:r w:rsidR="00162789">
        <w:rPr>
          <w:lang w:val="fr-FR"/>
        </w:rPr>
        <w:t>’</w:t>
      </w:r>
      <w:r w:rsidRPr="008F309E">
        <w:rPr>
          <w:lang w:val="fr-FR"/>
        </w:rPr>
        <w:t>article 13 de la Convention.</w:t>
      </w:r>
    </w:p>
    <w:p w:rsidR="005F5B89" w:rsidRPr="008F309E" w:rsidRDefault="005F5B89" w:rsidP="00C63990">
      <w:pPr>
        <w:pStyle w:val="ECHRPara"/>
        <w:rPr>
          <w:lang w:val="fr-FR"/>
        </w:rPr>
      </w:pPr>
      <w:r w:rsidRPr="008F309E">
        <w:rPr>
          <w:lang w:val="fr-FR"/>
        </w:rPr>
        <w:lastRenderedPageBreak/>
        <w:fldChar w:fldCharType="begin"/>
      </w:r>
      <w:r w:rsidRPr="008F309E">
        <w:rPr>
          <w:lang w:val="fr-FR"/>
        </w:rPr>
        <w:instrText xml:space="preserve"> SEQ level0 \*arabic </w:instrText>
      </w:r>
      <w:r w:rsidRPr="008F309E">
        <w:rPr>
          <w:lang w:val="fr-FR"/>
        </w:rPr>
        <w:fldChar w:fldCharType="separate"/>
      </w:r>
      <w:r w:rsidR="0051458B">
        <w:rPr>
          <w:noProof/>
          <w:lang w:val="fr-FR"/>
        </w:rPr>
        <w:t>93</w:t>
      </w:r>
      <w:r w:rsidRPr="008F309E">
        <w:rPr>
          <w:lang w:val="fr-FR"/>
        </w:rPr>
        <w:fldChar w:fldCharType="end"/>
      </w:r>
      <w:r w:rsidRPr="008F309E">
        <w:rPr>
          <w:lang w:val="fr-FR"/>
        </w:rPr>
        <w:t>.  De plus, après l</w:t>
      </w:r>
      <w:r w:rsidR="00162789">
        <w:rPr>
          <w:lang w:val="fr-FR"/>
        </w:rPr>
        <w:t>’</w:t>
      </w:r>
      <w:r w:rsidRPr="008F309E">
        <w:rPr>
          <w:lang w:val="fr-FR"/>
        </w:rPr>
        <w:t>arrêt de la Cour constitutionnelle n</w:t>
      </w:r>
      <w:r w:rsidR="005559D3" w:rsidRPr="005559D3">
        <w:rPr>
          <w:vertAlign w:val="superscript"/>
          <w:lang w:val="fr-FR"/>
        </w:rPr>
        <w:t>o</w:t>
      </w:r>
      <w:r w:rsidRPr="008F309E">
        <w:rPr>
          <w:lang w:val="fr-FR"/>
        </w:rPr>
        <w:t xml:space="preserve"> 317 de 2009 (paragraphe </w:t>
      </w:r>
      <w:r w:rsidR="007501D0">
        <w:rPr>
          <w:noProof/>
          <w:lang w:val="fr-FR"/>
        </w:rPr>
        <w:t>33</w:t>
      </w:r>
      <w:r w:rsidRPr="008F309E">
        <w:rPr>
          <w:lang w:val="fr-FR"/>
        </w:rPr>
        <w:t xml:space="preserve"> ci-dessus), le requérant a pu introduire une demande en relèvement de forclusion aux termes de l</w:t>
      </w:r>
      <w:r w:rsidR="00162789">
        <w:rPr>
          <w:lang w:val="fr-FR"/>
        </w:rPr>
        <w:t>’</w:t>
      </w:r>
      <w:r w:rsidRPr="008F309E">
        <w:rPr>
          <w:lang w:val="fr-FR"/>
        </w:rPr>
        <w:t>article 175 § 2 du CPP, ce qui a conduit à la réouverture du délai pour interjeter appel et à la tenue d</w:t>
      </w:r>
      <w:r w:rsidR="00162789">
        <w:rPr>
          <w:lang w:val="fr-FR"/>
        </w:rPr>
        <w:t>’</w:t>
      </w:r>
      <w:r w:rsidRPr="008F309E">
        <w:rPr>
          <w:lang w:val="fr-FR"/>
        </w:rPr>
        <w:t xml:space="preserve">un nouveau procès en sa présence (voir, notamment, les paragraphes </w:t>
      </w:r>
      <w:r w:rsidR="007501D0">
        <w:rPr>
          <w:noProof/>
          <w:lang w:val="fr-FR"/>
        </w:rPr>
        <w:t>73</w:t>
      </w:r>
      <w:r w:rsidR="00A870D9" w:rsidRPr="008F309E">
        <w:rPr>
          <w:lang w:val="fr-FR"/>
        </w:rPr>
        <w:t>-</w:t>
      </w:r>
      <w:r w:rsidR="007501D0">
        <w:rPr>
          <w:noProof/>
          <w:lang w:val="fr-FR"/>
        </w:rPr>
        <w:t>79</w:t>
      </w:r>
      <w:r w:rsidR="00A870D9" w:rsidRPr="008F309E">
        <w:rPr>
          <w:lang w:val="fr-FR"/>
        </w:rPr>
        <w:t xml:space="preserve"> </w:t>
      </w:r>
      <w:r w:rsidR="0021617B">
        <w:rPr>
          <w:lang w:val="fr-FR"/>
        </w:rPr>
        <w:t>ci</w:t>
      </w:r>
      <w:r w:rsidR="0021617B">
        <w:rPr>
          <w:lang w:val="fr-FR"/>
        </w:rPr>
        <w:noBreakHyphen/>
      </w:r>
      <w:r w:rsidRPr="008F309E">
        <w:rPr>
          <w:lang w:val="fr-FR"/>
        </w:rPr>
        <w:t>dessus).</w:t>
      </w:r>
    </w:p>
    <w:p w:rsidR="008F5408" w:rsidRPr="008F309E" w:rsidRDefault="00A870D9" w:rsidP="00C6399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94</w:t>
      </w:r>
      <w:r w:rsidRPr="008F309E">
        <w:rPr>
          <w:lang w:val="fr-FR"/>
        </w:rPr>
        <w:fldChar w:fldCharType="end"/>
      </w:r>
      <w:r w:rsidRPr="008F309E">
        <w:rPr>
          <w:lang w:val="fr-FR"/>
        </w:rPr>
        <w:t>.  Dans ces circonstances, aucune apparence de violation de l</w:t>
      </w:r>
      <w:r w:rsidR="00162789">
        <w:rPr>
          <w:lang w:val="fr-FR"/>
        </w:rPr>
        <w:t>’</w:t>
      </w:r>
      <w:r w:rsidRPr="008F309E">
        <w:rPr>
          <w:lang w:val="fr-FR"/>
        </w:rPr>
        <w:t>article 13 de la Convention ne saurait être décelée en l</w:t>
      </w:r>
      <w:r w:rsidR="00162789">
        <w:rPr>
          <w:lang w:val="fr-FR"/>
        </w:rPr>
        <w:t>’</w:t>
      </w:r>
      <w:r w:rsidRPr="008F309E">
        <w:rPr>
          <w:lang w:val="fr-FR"/>
        </w:rPr>
        <w:t>espèce.</w:t>
      </w:r>
    </w:p>
    <w:p w:rsidR="008F5408" w:rsidRPr="008F309E" w:rsidRDefault="008F5408" w:rsidP="00C6399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95</w:t>
      </w:r>
      <w:r w:rsidRPr="008F309E">
        <w:rPr>
          <w:lang w:val="fr-FR"/>
        </w:rPr>
        <w:fldChar w:fldCharType="end"/>
      </w:r>
      <w:r w:rsidRPr="008F309E">
        <w:rPr>
          <w:lang w:val="fr-FR"/>
        </w:rPr>
        <w:t>.  </w:t>
      </w:r>
      <w:r w:rsidRPr="008F309E">
        <w:rPr>
          <w:snapToGrid w:val="0"/>
          <w:lang w:val="fr-FR"/>
        </w:rPr>
        <w:t>Il s</w:t>
      </w:r>
      <w:r w:rsidR="00162789">
        <w:rPr>
          <w:snapToGrid w:val="0"/>
          <w:lang w:val="fr-FR"/>
        </w:rPr>
        <w:t>’</w:t>
      </w:r>
      <w:r w:rsidRPr="008F309E">
        <w:rPr>
          <w:snapToGrid w:val="0"/>
          <w:lang w:val="fr-FR"/>
        </w:rPr>
        <w:t>ensuit que ce grief est manifestement mal fondé et doit être rejeté en application de l</w:t>
      </w:r>
      <w:r w:rsidR="00162789">
        <w:rPr>
          <w:snapToGrid w:val="0"/>
          <w:lang w:val="fr-FR"/>
        </w:rPr>
        <w:t>’</w:t>
      </w:r>
      <w:r w:rsidRPr="008F309E">
        <w:rPr>
          <w:snapToGrid w:val="0"/>
          <w:lang w:val="fr-FR"/>
        </w:rPr>
        <w:t>article 35 §§ 3</w:t>
      </w:r>
      <w:r w:rsidR="00E0459E">
        <w:rPr>
          <w:snapToGrid w:val="0"/>
          <w:lang w:val="fr-FR"/>
        </w:rPr>
        <w:t xml:space="preserve"> </w:t>
      </w:r>
      <w:r w:rsidRPr="008F309E">
        <w:rPr>
          <w:lang w:val="fr-FR"/>
        </w:rPr>
        <w:t xml:space="preserve">a) </w:t>
      </w:r>
      <w:r w:rsidRPr="008F309E">
        <w:rPr>
          <w:snapToGrid w:val="0"/>
          <w:lang w:val="fr-FR"/>
        </w:rPr>
        <w:t>et 4 de la Convention.</w:t>
      </w:r>
    </w:p>
    <w:p w:rsidR="00E77CB3" w:rsidRPr="008F309E" w:rsidRDefault="008F5408" w:rsidP="00C63990">
      <w:pPr>
        <w:pStyle w:val="ECHRHeading1"/>
        <w:rPr>
          <w:lang w:val="fr-FR"/>
        </w:rPr>
      </w:pPr>
      <w:r w:rsidRPr="008F309E">
        <w:rPr>
          <w:lang w:val="fr-FR"/>
        </w:rPr>
        <w:t>III</w:t>
      </w:r>
      <w:r w:rsidR="00E77CB3" w:rsidRPr="008F309E">
        <w:rPr>
          <w:lang w:val="fr-FR"/>
        </w:rPr>
        <w:t>.  SUR LA VIOLATION ALLÉGUÉE DE L</w:t>
      </w:r>
      <w:r w:rsidR="00162789">
        <w:rPr>
          <w:lang w:val="fr-FR"/>
        </w:rPr>
        <w:t>’</w:t>
      </w:r>
      <w:r w:rsidR="00E77CB3" w:rsidRPr="008F309E">
        <w:rPr>
          <w:lang w:val="fr-FR"/>
        </w:rPr>
        <w:t xml:space="preserve">ARTICLE </w:t>
      </w:r>
      <w:r w:rsidRPr="008F309E">
        <w:rPr>
          <w:lang w:val="fr-FR"/>
        </w:rPr>
        <w:t>5</w:t>
      </w:r>
      <w:r w:rsidR="00E77CB3" w:rsidRPr="008F309E">
        <w:rPr>
          <w:lang w:val="fr-FR"/>
        </w:rPr>
        <w:t xml:space="preserve"> DE LA CONVENTION</w:t>
      </w:r>
    </w:p>
    <w:p w:rsidR="00B667DE" w:rsidRPr="008F309E" w:rsidRDefault="008D33F2" w:rsidP="00B667DE">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96</w:t>
      </w:r>
      <w:r w:rsidRPr="008F309E">
        <w:rPr>
          <w:lang w:val="fr-FR"/>
        </w:rPr>
        <w:fldChar w:fldCharType="end"/>
      </w:r>
      <w:r w:rsidR="00E77CB3" w:rsidRPr="008F309E">
        <w:rPr>
          <w:lang w:val="fr-FR"/>
        </w:rPr>
        <w:t>.  </w:t>
      </w:r>
      <w:r w:rsidR="00B667DE" w:rsidRPr="008F309E">
        <w:rPr>
          <w:lang w:val="fr-FR"/>
        </w:rPr>
        <w:t>Lors de l</w:t>
      </w:r>
      <w:r w:rsidR="00375A0F">
        <w:rPr>
          <w:lang w:val="fr-FR"/>
        </w:rPr>
        <w:t xml:space="preserve">a communication de la requête, </w:t>
      </w:r>
      <w:r w:rsidR="00B667DE" w:rsidRPr="008F309E">
        <w:rPr>
          <w:lang w:val="fr-FR"/>
        </w:rPr>
        <w:t>une question sur le point de savoir si le refus de rouvrir la procédure pénale contre le requérant pouvait s</w:t>
      </w:r>
      <w:r w:rsidR="00162789">
        <w:rPr>
          <w:lang w:val="fr-FR"/>
        </w:rPr>
        <w:t>’</w:t>
      </w:r>
      <w:r w:rsidR="00B667DE" w:rsidRPr="008F309E">
        <w:rPr>
          <w:lang w:val="fr-FR"/>
        </w:rPr>
        <w:t xml:space="preserve">analyser en un « flagrant déni de justice », susceptible de rendre la détention en exécution de la condamnation </w:t>
      </w:r>
      <w:r w:rsidR="00B667DE" w:rsidRPr="008F309E">
        <w:rPr>
          <w:i/>
          <w:lang w:val="fr-FR"/>
        </w:rPr>
        <w:t xml:space="preserve">in absentia </w:t>
      </w:r>
      <w:r w:rsidR="00B667DE" w:rsidRPr="008F309E">
        <w:rPr>
          <w:lang w:val="fr-FR"/>
        </w:rPr>
        <w:t>non justifiée sous l</w:t>
      </w:r>
      <w:r w:rsidR="00162789">
        <w:rPr>
          <w:lang w:val="fr-FR"/>
        </w:rPr>
        <w:t>’</w:t>
      </w:r>
      <w:r w:rsidR="00B667DE" w:rsidRPr="008F309E">
        <w:rPr>
          <w:lang w:val="fr-FR"/>
        </w:rPr>
        <w:t>angle de l</w:t>
      </w:r>
      <w:r w:rsidR="00162789">
        <w:rPr>
          <w:lang w:val="fr-FR"/>
        </w:rPr>
        <w:t>’</w:t>
      </w:r>
      <w:r w:rsidR="00B667DE" w:rsidRPr="008F309E">
        <w:rPr>
          <w:lang w:val="fr-FR"/>
        </w:rPr>
        <w:t>article 5 de la Convention</w:t>
      </w:r>
      <w:r w:rsidR="00DA1781">
        <w:rPr>
          <w:lang w:val="fr-FR"/>
        </w:rPr>
        <w:t xml:space="preserve">, a été </w:t>
      </w:r>
      <w:r w:rsidR="00347B33">
        <w:rPr>
          <w:lang w:val="fr-FR"/>
        </w:rPr>
        <w:t>posée</w:t>
      </w:r>
      <w:r w:rsidR="00DA1781">
        <w:rPr>
          <w:lang w:val="fr-FR"/>
        </w:rPr>
        <w:t xml:space="preserve"> au Gouvernement</w:t>
      </w:r>
      <w:r w:rsidR="00B667DE" w:rsidRPr="008F309E">
        <w:rPr>
          <w:lang w:val="fr-FR"/>
        </w:rPr>
        <w:t>.</w:t>
      </w:r>
    </w:p>
    <w:p w:rsidR="00B667DE" w:rsidRPr="008F309E" w:rsidRDefault="00B667DE" w:rsidP="00B667DE">
      <w:pPr>
        <w:pStyle w:val="ECHRPara"/>
        <w:rPr>
          <w:lang w:val="fr-FR"/>
        </w:rPr>
      </w:pPr>
      <w:r w:rsidRPr="008F309E">
        <w:rPr>
          <w:lang w:val="fr-FR"/>
        </w:rPr>
        <w:t>En ses parties pertinentes, cette disposition se lit comme suit :</w:t>
      </w:r>
    </w:p>
    <w:p w:rsidR="00B667DE" w:rsidRPr="008F309E" w:rsidRDefault="00B667DE" w:rsidP="00B667DE">
      <w:pPr>
        <w:pStyle w:val="ECHRParaQuote"/>
        <w:rPr>
          <w:lang w:val="fr-FR"/>
        </w:rPr>
      </w:pPr>
      <w:r w:rsidRPr="008F309E">
        <w:rPr>
          <w:lang w:val="fr-FR"/>
        </w:rPr>
        <w:t>« 1.  Toute personne a droit à la liberté et à la sûreté. Nul ne peut être privé de sa liberté, sauf dans les cas suivants et selon les voies légales :</w:t>
      </w:r>
    </w:p>
    <w:p w:rsidR="00B667DE" w:rsidRPr="008F309E" w:rsidRDefault="00B667DE" w:rsidP="00B667DE">
      <w:pPr>
        <w:pStyle w:val="ECHRParaQuote"/>
        <w:rPr>
          <w:lang w:val="fr-FR"/>
        </w:rPr>
      </w:pPr>
      <w:r w:rsidRPr="008F309E">
        <w:rPr>
          <w:lang w:val="fr-FR"/>
        </w:rPr>
        <w:t>a)  s</w:t>
      </w:r>
      <w:r w:rsidR="00162789">
        <w:rPr>
          <w:lang w:val="fr-FR"/>
        </w:rPr>
        <w:t>’</w:t>
      </w:r>
      <w:r w:rsidRPr="008F309E">
        <w:rPr>
          <w:lang w:val="fr-FR"/>
        </w:rPr>
        <w:t>il est détenu régulièrement après condamnation par un tribunal compétent ;</w:t>
      </w:r>
    </w:p>
    <w:p w:rsidR="00B667DE" w:rsidRPr="008F309E" w:rsidRDefault="00B667DE" w:rsidP="00B667DE">
      <w:pPr>
        <w:pStyle w:val="ECHRParaQuote"/>
        <w:rPr>
          <w:lang w:val="fr-FR"/>
        </w:rPr>
      </w:pPr>
      <w:r w:rsidRPr="008F309E">
        <w:rPr>
          <w:lang w:val="fr-FR"/>
        </w:rPr>
        <w:t>(</w:t>
      </w:r>
      <w:r w:rsidR="005559D3">
        <w:rPr>
          <w:lang w:val="fr-FR"/>
        </w:rPr>
        <w:t>...</w:t>
      </w:r>
      <w:r w:rsidRPr="008F309E">
        <w:rPr>
          <w:lang w:val="fr-FR"/>
        </w:rPr>
        <w:t>). »</w:t>
      </w:r>
    </w:p>
    <w:p w:rsidR="004913D7" w:rsidRPr="008F309E" w:rsidRDefault="004913D7" w:rsidP="004913D7">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97</w:t>
      </w:r>
      <w:r w:rsidRPr="008F309E">
        <w:rPr>
          <w:lang w:val="fr-FR"/>
        </w:rPr>
        <w:fldChar w:fldCharType="end"/>
      </w:r>
      <w:r w:rsidRPr="008F309E">
        <w:rPr>
          <w:lang w:val="fr-FR"/>
        </w:rPr>
        <w:t>.  Le Gouvernement nie l</w:t>
      </w:r>
      <w:r w:rsidR="00162789">
        <w:rPr>
          <w:lang w:val="fr-FR"/>
        </w:rPr>
        <w:t>’</w:t>
      </w:r>
      <w:r w:rsidRPr="008F309E">
        <w:rPr>
          <w:lang w:val="fr-FR"/>
        </w:rPr>
        <w:t>existence d</w:t>
      </w:r>
      <w:r w:rsidR="00162789">
        <w:rPr>
          <w:lang w:val="fr-FR"/>
        </w:rPr>
        <w:t>’</w:t>
      </w:r>
      <w:r w:rsidRPr="008F309E">
        <w:rPr>
          <w:lang w:val="fr-FR"/>
        </w:rPr>
        <w:t>une violation de l</w:t>
      </w:r>
      <w:r w:rsidR="00162789">
        <w:rPr>
          <w:lang w:val="fr-FR"/>
        </w:rPr>
        <w:t>’</w:t>
      </w:r>
      <w:r w:rsidRPr="008F309E">
        <w:rPr>
          <w:lang w:val="fr-FR"/>
        </w:rPr>
        <w:t>article 5 de la Convention.</w:t>
      </w:r>
    </w:p>
    <w:p w:rsidR="004913D7" w:rsidRPr="008F309E" w:rsidRDefault="004913D7" w:rsidP="004913D7">
      <w:pPr>
        <w:pStyle w:val="ECHRHeading2"/>
        <w:outlineLvl w:val="0"/>
        <w:rPr>
          <w:lang w:val="fr-FR"/>
        </w:rPr>
      </w:pPr>
      <w:r w:rsidRPr="008F309E">
        <w:rPr>
          <w:lang w:val="fr-FR"/>
        </w:rPr>
        <w:t>A.  Sur la recevabilité</w:t>
      </w:r>
    </w:p>
    <w:p w:rsidR="009448F9" w:rsidRPr="008F309E" w:rsidRDefault="009448F9" w:rsidP="009448F9">
      <w:pPr>
        <w:pStyle w:val="ECHRHeading3"/>
        <w:rPr>
          <w:lang w:val="fr-FR"/>
        </w:rPr>
      </w:pPr>
      <w:r w:rsidRPr="008F309E">
        <w:rPr>
          <w:lang w:val="fr-FR"/>
        </w:rPr>
        <w:t>1.  Question préliminaire</w:t>
      </w:r>
    </w:p>
    <w:p w:rsidR="005559D3" w:rsidRDefault="007179E7" w:rsidP="00FD05C6">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98</w:t>
      </w:r>
      <w:r w:rsidRPr="008F309E">
        <w:rPr>
          <w:lang w:val="fr-FR"/>
        </w:rPr>
        <w:fldChar w:fldCharType="end"/>
      </w:r>
      <w:r w:rsidRPr="008F309E">
        <w:rPr>
          <w:lang w:val="fr-FR"/>
        </w:rPr>
        <w:t>.  </w:t>
      </w:r>
      <w:r w:rsidR="004913D7" w:rsidRPr="008F309E">
        <w:rPr>
          <w:lang w:val="fr-FR"/>
        </w:rPr>
        <w:t>Le Gouvernement observe tout d</w:t>
      </w:r>
      <w:r w:rsidR="00162789">
        <w:rPr>
          <w:lang w:val="fr-FR"/>
        </w:rPr>
        <w:t>’</w:t>
      </w:r>
      <w:r w:rsidR="004913D7" w:rsidRPr="008F309E">
        <w:rPr>
          <w:lang w:val="fr-FR"/>
        </w:rPr>
        <w:t>abord que le requérant n</w:t>
      </w:r>
      <w:r w:rsidR="00162789">
        <w:rPr>
          <w:lang w:val="fr-FR"/>
        </w:rPr>
        <w:t>’</w:t>
      </w:r>
      <w:r w:rsidR="004913D7" w:rsidRPr="008F309E">
        <w:rPr>
          <w:lang w:val="fr-FR"/>
        </w:rPr>
        <w:t>a pas dénoncé la violation de l</w:t>
      </w:r>
      <w:r w:rsidR="00162789">
        <w:rPr>
          <w:lang w:val="fr-FR"/>
        </w:rPr>
        <w:t>’</w:t>
      </w:r>
      <w:r w:rsidR="004913D7" w:rsidRPr="008F309E">
        <w:rPr>
          <w:lang w:val="fr-FR"/>
        </w:rPr>
        <w:t>article 5 de la Convention et considère que toute question quant au respect de cette disposition se situe en dehors de l</w:t>
      </w:r>
      <w:r w:rsidR="00162789">
        <w:rPr>
          <w:lang w:val="fr-FR"/>
        </w:rPr>
        <w:t>’</w:t>
      </w:r>
      <w:r w:rsidR="004913D7" w:rsidRPr="008F309E">
        <w:rPr>
          <w:lang w:val="fr-FR"/>
        </w:rPr>
        <w:t xml:space="preserve">objet de la présente requête. Il invite la Cour à ne pas aller </w:t>
      </w:r>
      <w:r w:rsidR="004913D7" w:rsidRPr="008F309E">
        <w:rPr>
          <w:i/>
          <w:lang w:val="fr-FR"/>
        </w:rPr>
        <w:t>ultra petita</w:t>
      </w:r>
      <w:r w:rsidR="004913D7" w:rsidRPr="008F309E">
        <w:rPr>
          <w:lang w:val="fr-FR"/>
        </w:rPr>
        <w:t>. Le fait d</w:t>
      </w:r>
      <w:r w:rsidR="00162789">
        <w:rPr>
          <w:lang w:val="fr-FR"/>
        </w:rPr>
        <w:t>’</w:t>
      </w:r>
      <w:r w:rsidR="004913D7" w:rsidRPr="008F309E">
        <w:rPr>
          <w:lang w:val="fr-FR"/>
        </w:rPr>
        <w:t>étendre l</w:t>
      </w:r>
      <w:r w:rsidR="00162789">
        <w:rPr>
          <w:lang w:val="fr-FR"/>
        </w:rPr>
        <w:t>’</w:t>
      </w:r>
      <w:r w:rsidR="004913D7" w:rsidRPr="008F309E">
        <w:rPr>
          <w:lang w:val="fr-FR"/>
        </w:rPr>
        <w:t>objet de la requête à des griefs non explicitement soulevés par le requérant n</w:t>
      </w:r>
      <w:r w:rsidR="00162789">
        <w:rPr>
          <w:lang w:val="fr-FR"/>
        </w:rPr>
        <w:t>’</w:t>
      </w:r>
      <w:r w:rsidR="004913D7" w:rsidRPr="008F309E">
        <w:rPr>
          <w:lang w:val="fr-FR"/>
        </w:rPr>
        <w:t>aurait au</w:t>
      </w:r>
      <w:r w:rsidR="00FD05C6" w:rsidRPr="008F309E">
        <w:rPr>
          <w:lang w:val="fr-FR"/>
        </w:rPr>
        <w:t>cu</w:t>
      </w:r>
      <w:r w:rsidR="004913D7" w:rsidRPr="008F309E">
        <w:rPr>
          <w:lang w:val="fr-FR"/>
        </w:rPr>
        <w:t>ne base légale et risquerait d</w:t>
      </w:r>
      <w:r w:rsidR="00FD05C6" w:rsidRPr="008F309E">
        <w:rPr>
          <w:lang w:val="fr-FR"/>
        </w:rPr>
        <w:t>e violer l</w:t>
      </w:r>
      <w:r w:rsidR="004913D7" w:rsidRPr="008F309E">
        <w:rPr>
          <w:lang w:val="fr-FR"/>
        </w:rPr>
        <w:t>es principes selon lesquels les parties doivent librement disposer de leur doléances et la procédure devant la Cour doit être équitable.</w:t>
      </w:r>
    </w:p>
    <w:p w:rsidR="009448F9" w:rsidRPr="008F309E" w:rsidRDefault="00FD05C6" w:rsidP="009448F9">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99</w:t>
      </w:r>
      <w:r w:rsidRPr="008F309E">
        <w:rPr>
          <w:lang w:val="fr-FR"/>
        </w:rPr>
        <w:fldChar w:fldCharType="end"/>
      </w:r>
      <w:r w:rsidRPr="008F309E">
        <w:rPr>
          <w:lang w:val="fr-FR"/>
        </w:rPr>
        <w:t>.  La Cour rappelle qu</w:t>
      </w:r>
      <w:r w:rsidR="00162789">
        <w:rPr>
          <w:lang w:val="fr-FR"/>
        </w:rPr>
        <w:t>’</w:t>
      </w:r>
      <w:r w:rsidRPr="008F309E">
        <w:rPr>
          <w:lang w:val="fr-FR"/>
        </w:rPr>
        <w:t>il lui incombe d</w:t>
      </w:r>
      <w:r w:rsidR="00162789">
        <w:rPr>
          <w:lang w:val="fr-FR"/>
        </w:rPr>
        <w:t>’</w:t>
      </w:r>
      <w:r w:rsidRPr="008F309E">
        <w:rPr>
          <w:lang w:val="fr-FR"/>
        </w:rPr>
        <w:t>étudier au regard de l</w:t>
      </w:r>
      <w:r w:rsidR="00162789">
        <w:rPr>
          <w:lang w:val="fr-FR"/>
        </w:rPr>
        <w:t>’</w:t>
      </w:r>
      <w:r w:rsidRPr="008F309E">
        <w:rPr>
          <w:lang w:val="fr-FR"/>
        </w:rPr>
        <w:t>ensemble de la Convention la situation incriminée par un requérant. Dans l</w:t>
      </w:r>
      <w:r w:rsidR="00162789">
        <w:rPr>
          <w:lang w:val="fr-FR"/>
        </w:rPr>
        <w:t>’</w:t>
      </w:r>
      <w:r w:rsidRPr="008F309E">
        <w:rPr>
          <w:lang w:val="fr-FR"/>
        </w:rPr>
        <w:t xml:space="preserve">accomplissement de cette tâche, il lui est notamment loisible de donner aux faits de la cause une qualification juridique différente de celle que leur </w:t>
      </w:r>
      <w:r w:rsidRPr="008F309E">
        <w:rPr>
          <w:lang w:val="fr-FR"/>
        </w:rPr>
        <w:lastRenderedPageBreak/>
        <w:t>attribue l</w:t>
      </w:r>
      <w:r w:rsidR="00162789">
        <w:rPr>
          <w:lang w:val="fr-FR"/>
        </w:rPr>
        <w:t>’</w:t>
      </w:r>
      <w:r w:rsidRPr="008F309E">
        <w:rPr>
          <w:lang w:val="fr-FR"/>
        </w:rPr>
        <w:t>intéressé</w:t>
      </w:r>
      <w:r w:rsidR="009448F9" w:rsidRPr="008F309E">
        <w:rPr>
          <w:i/>
          <w:lang w:val="fr-FR"/>
        </w:rPr>
        <w:t xml:space="preserve"> </w:t>
      </w:r>
      <w:r w:rsidR="009448F9" w:rsidRPr="008F309E">
        <w:rPr>
          <w:lang w:val="fr-FR"/>
        </w:rPr>
        <w:t>(</w:t>
      </w:r>
      <w:r w:rsidR="009448F9" w:rsidRPr="008F309E">
        <w:rPr>
          <w:i/>
          <w:lang w:val="fr-FR"/>
        </w:rPr>
        <w:t>Guzzardi c.</w:t>
      </w:r>
      <w:r w:rsidR="00E0459E">
        <w:rPr>
          <w:i/>
          <w:lang w:val="fr-FR"/>
        </w:rPr>
        <w:t xml:space="preserve"> </w:t>
      </w:r>
      <w:r w:rsidR="009448F9" w:rsidRPr="008F309E">
        <w:rPr>
          <w:i/>
          <w:lang w:val="fr-FR"/>
        </w:rPr>
        <w:t>Italie</w:t>
      </w:r>
      <w:r w:rsidR="009448F9" w:rsidRPr="008F309E">
        <w:rPr>
          <w:lang w:val="fr-FR"/>
        </w:rPr>
        <w:t>, 6 novembre 1980, § 63, série A n</w:t>
      </w:r>
      <w:r w:rsidR="005559D3" w:rsidRPr="005559D3">
        <w:rPr>
          <w:vertAlign w:val="superscript"/>
          <w:lang w:val="fr-FR"/>
        </w:rPr>
        <w:t>o</w:t>
      </w:r>
      <w:r w:rsidR="009448F9" w:rsidRPr="008F309E">
        <w:rPr>
          <w:lang w:val="fr-FR"/>
        </w:rPr>
        <w:t> 39) ou, au besoin, de les envisager sous un autre angle ; de plus, il lui faut prendre en compte non seulement la requête primitive, mais aussi les écrits complémentaires destinés à la parachever en éliminant des lacunes ou obscurités initiales (</w:t>
      </w:r>
      <w:r w:rsidR="009448F9" w:rsidRPr="008F309E">
        <w:rPr>
          <w:i/>
          <w:lang w:val="fr-FR"/>
        </w:rPr>
        <w:t>Foti et autres c. Italie</w:t>
      </w:r>
      <w:r w:rsidR="009448F9" w:rsidRPr="008F309E">
        <w:rPr>
          <w:lang w:val="fr-FR"/>
        </w:rPr>
        <w:t>, 10</w:t>
      </w:r>
      <w:r w:rsidR="00E0459E">
        <w:rPr>
          <w:lang w:val="fr-FR"/>
        </w:rPr>
        <w:t xml:space="preserve"> </w:t>
      </w:r>
      <w:r w:rsidR="009448F9" w:rsidRPr="008F309E">
        <w:rPr>
          <w:lang w:val="fr-FR"/>
        </w:rPr>
        <w:t>décembre 1982, § 44, série A n</w:t>
      </w:r>
      <w:r w:rsidR="005559D3" w:rsidRPr="005559D3">
        <w:rPr>
          <w:vertAlign w:val="superscript"/>
          <w:lang w:val="fr-FR"/>
        </w:rPr>
        <w:t>o</w:t>
      </w:r>
      <w:r w:rsidR="009448F9" w:rsidRPr="008F309E">
        <w:rPr>
          <w:lang w:val="fr-FR"/>
        </w:rPr>
        <w:t xml:space="preserve"> 56)</w:t>
      </w:r>
      <w:r w:rsidRPr="008F309E">
        <w:rPr>
          <w:lang w:val="fr-FR"/>
        </w:rPr>
        <w:t>. Or, les éléments fournis à la Cour montrent nettement, si on les envisage dans une perspective globale, qu</w:t>
      </w:r>
      <w:r w:rsidR="00162789">
        <w:rPr>
          <w:lang w:val="fr-FR"/>
        </w:rPr>
        <w:t>’</w:t>
      </w:r>
      <w:r w:rsidRPr="008F309E">
        <w:rPr>
          <w:lang w:val="fr-FR"/>
        </w:rPr>
        <w:t>un problème se pose en l</w:t>
      </w:r>
      <w:r w:rsidR="00162789">
        <w:rPr>
          <w:lang w:val="fr-FR"/>
        </w:rPr>
        <w:t>’</w:t>
      </w:r>
      <w:r w:rsidRPr="008F309E">
        <w:rPr>
          <w:lang w:val="fr-FR"/>
        </w:rPr>
        <w:t>espèce sur le terrain de l</w:t>
      </w:r>
      <w:r w:rsidR="00162789">
        <w:rPr>
          <w:lang w:val="fr-FR"/>
        </w:rPr>
        <w:t>’</w:t>
      </w:r>
      <w:r w:rsidRPr="008F309E">
        <w:rPr>
          <w:lang w:val="fr-FR"/>
        </w:rPr>
        <w:t>article 5. En outre, dans sa réplique aux observations du Gouvernement, le représentant du requérant a affirmé que ses griefs tirés des autres clauses de la Convention présupposaient l</w:t>
      </w:r>
      <w:r w:rsidR="00162789">
        <w:rPr>
          <w:lang w:val="fr-FR"/>
        </w:rPr>
        <w:t>’</w:t>
      </w:r>
      <w:r w:rsidRPr="008F309E">
        <w:rPr>
          <w:lang w:val="fr-FR"/>
        </w:rPr>
        <w:t>existence d</w:t>
      </w:r>
      <w:r w:rsidR="00162789">
        <w:rPr>
          <w:lang w:val="fr-FR"/>
        </w:rPr>
        <w:t>’</w:t>
      </w:r>
      <w:r w:rsidRPr="008F309E">
        <w:rPr>
          <w:lang w:val="fr-FR"/>
        </w:rPr>
        <w:t xml:space="preserve">un déni flagrant de justice susceptible de rendre illégale son incarcération </w:t>
      </w:r>
      <w:r w:rsidR="009448F9" w:rsidRPr="008F309E">
        <w:rPr>
          <w:lang w:val="fr-FR"/>
        </w:rPr>
        <w:t>et a soutenu l</w:t>
      </w:r>
      <w:r w:rsidR="00162789">
        <w:rPr>
          <w:lang w:val="fr-FR"/>
        </w:rPr>
        <w:t>’</w:t>
      </w:r>
      <w:r w:rsidR="009448F9" w:rsidRPr="008F309E">
        <w:rPr>
          <w:lang w:val="fr-FR"/>
        </w:rPr>
        <w:t>existence d</w:t>
      </w:r>
      <w:r w:rsidR="00162789">
        <w:rPr>
          <w:lang w:val="fr-FR"/>
        </w:rPr>
        <w:t>’</w:t>
      </w:r>
      <w:r w:rsidR="009448F9" w:rsidRPr="008F309E">
        <w:rPr>
          <w:lang w:val="fr-FR"/>
        </w:rPr>
        <w:t>une violation de l</w:t>
      </w:r>
      <w:r w:rsidR="00162789">
        <w:rPr>
          <w:lang w:val="fr-FR"/>
        </w:rPr>
        <w:t>’</w:t>
      </w:r>
      <w:r w:rsidR="009448F9" w:rsidRPr="008F309E">
        <w:rPr>
          <w:lang w:val="fr-FR"/>
        </w:rPr>
        <w:t xml:space="preserve">article 5 de la Convention </w:t>
      </w:r>
      <w:r w:rsidRPr="008F309E">
        <w:rPr>
          <w:lang w:val="fr-FR"/>
        </w:rPr>
        <w:t>(</w:t>
      </w:r>
      <w:r w:rsidR="009448F9" w:rsidRPr="008F309E">
        <w:rPr>
          <w:lang w:val="fr-FR"/>
        </w:rPr>
        <w:t xml:space="preserve">voir, </w:t>
      </w:r>
      <w:r w:rsidR="009448F9" w:rsidRPr="008F309E">
        <w:rPr>
          <w:i/>
          <w:lang w:val="fr-FR"/>
        </w:rPr>
        <w:t>a contrario</w:t>
      </w:r>
      <w:r w:rsidR="009448F9" w:rsidRPr="008F309E">
        <w:rPr>
          <w:lang w:val="fr-FR"/>
        </w:rPr>
        <w:t>,</w:t>
      </w:r>
      <w:r w:rsidR="009448F9" w:rsidRPr="008F309E">
        <w:rPr>
          <w:i/>
          <w:lang w:val="fr-FR"/>
        </w:rPr>
        <w:t xml:space="preserve"> </w:t>
      </w:r>
      <w:r w:rsidR="004913D7" w:rsidRPr="008F309E">
        <w:rPr>
          <w:i/>
          <w:lang w:val="fr-FR"/>
        </w:rPr>
        <w:t>Bellomonte c. Italie</w:t>
      </w:r>
      <w:r w:rsidR="004913D7" w:rsidRPr="008F309E">
        <w:rPr>
          <w:lang w:val="fr-FR"/>
        </w:rPr>
        <w:t xml:space="preserve"> (déc.), n</w:t>
      </w:r>
      <w:r w:rsidR="005559D3" w:rsidRPr="005559D3">
        <w:rPr>
          <w:vertAlign w:val="superscript"/>
          <w:lang w:val="fr-FR"/>
        </w:rPr>
        <w:t>o</w:t>
      </w:r>
      <w:r w:rsidR="004913D7" w:rsidRPr="008F309E">
        <w:rPr>
          <w:lang w:val="fr-FR"/>
        </w:rPr>
        <w:t xml:space="preserve"> 28298/10, §</w:t>
      </w:r>
      <w:r w:rsidR="00E0459E">
        <w:rPr>
          <w:lang w:val="fr-FR"/>
        </w:rPr>
        <w:t xml:space="preserve"> </w:t>
      </w:r>
      <w:r w:rsidR="004913D7" w:rsidRPr="008F309E">
        <w:rPr>
          <w:lang w:val="fr-FR"/>
        </w:rPr>
        <w:t>92, 1</w:t>
      </w:r>
      <w:r w:rsidR="004913D7" w:rsidRPr="008F309E">
        <w:rPr>
          <w:vertAlign w:val="superscript"/>
          <w:lang w:val="fr-FR"/>
        </w:rPr>
        <w:t>er</w:t>
      </w:r>
      <w:r w:rsidR="004913D7" w:rsidRPr="008F309E">
        <w:rPr>
          <w:lang w:val="fr-FR"/>
        </w:rPr>
        <w:t xml:space="preserve"> avril 2014</w:t>
      </w:r>
      <w:r w:rsidR="009448F9" w:rsidRPr="008F309E">
        <w:rPr>
          <w:lang w:val="fr-FR"/>
        </w:rPr>
        <w:t>).</w:t>
      </w:r>
      <w:r w:rsidR="001D3782" w:rsidRPr="008F309E">
        <w:rPr>
          <w:lang w:val="fr-FR"/>
        </w:rPr>
        <w:t xml:space="preserve"> Il a ainsi marqué son accord avec la démarche suivi</w:t>
      </w:r>
      <w:r w:rsidR="00E70E86">
        <w:rPr>
          <w:lang w:val="fr-FR"/>
        </w:rPr>
        <w:t>e</w:t>
      </w:r>
      <w:r w:rsidR="001D3782" w:rsidRPr="008F309E">
        <w:rPr>
          <w:lang w:val="fr-FR"/>
        </w:rPr>
        <w:t xml:space="preserve"> par la Cour et complété la requête </w:t>
      </w:r>
      <w:r w:rsidR="00695260">
        <w:rPr>
          <w:lang w:val="fr-FR"/>
        </w:rPr>
        <w:t>au nom du requérant</w:t>
      </w:r>
      <w:r w:rsidR="001D3782" w:rsidRPr="008F309E">
        <w:rPr>
          <w:lang w:val="fr-FR"/>
        </w:rPr>
        <w:t xml:space="preserve"> (voir, </w:t>
      </w:r>
      <w:r w:rsidR="001D3782" w:rsidRPr="008F309E">
        <w:rPr>
          <w:i/>
          <w:lang w:val="fr-FR"/>
        </w:rPr>
        <w:t>mutatis mutandis</w:t>
      </w:r>
      <w:r w:rsidR="001D3782" w:rsidRPr="008F309E">
        <w:rPr>
          <w:lang w:val="fr-FR"/>
        </w:rPr>
        <w:t xml:space="preserve">, </w:t>
      </w:r>
      <w:r w:rsidR="001D3782" w:rsidRPr="008F309E">
        <w:rPr>
          <w:i/>
          <w:lang w:val="fr-FR"/>
        </w:rPr>
        <w:t>Foti et autres</w:t>
      </w:r>
      <w:r w:rsidR="001D3782" w:rsidRPr="008F309E">
        <w:rPr>
          <w:lang w:val="fr-FR"/>
        </w:rPr>
        <w:t>, précité, §</w:t>
      </w:r>
      <w:r w:rsidR="00695260">
        <w:rPr>
          <w:lang w:val="fr-FR"/>
        </w:rPr>
        <w:t> </w:t>
      </w:r>
      <w:r w:rsidR="001D3782" w:rsidRPr="008F309E">
        <w:rPr>
          <w:lang w:val="fr-FR"/>
        </w:rPr>
        <w:t>44).</w:t>
      </w:r>
    </w:p>
    <w:p w:rsidR="0030782A" w:rsidRPr="008F309E" w:rsidRDefault="009448F9" w:rsidP="004913D7">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100</w:t>
      </w:r>
      <w:r w:rsidRPr="008F309E">
        <w:rPr>
          <w:lang w:val="fr-FR"/>
        </w:rPr>
        <w:fldChar w:fldCharType="end"/>
      </w:r>
      <w:r w:rsidRPr="008F309E">
        <w:rPr>
          <w:lang w:val="fr-FR"/>
        </w:rPr>
        <w:t>.  </w:t>
      </w:r>
      <w:r w:rsidR="001D3782" w:rsidRPr="008F309E">
        <w:rPr>
          <w:lang w:val="fr-FR"/>
        </w:rPr>
        <w:t>L</w:t>
      </w:r>
      <w:r w:rsidRPr="008F309E">
        <w:rPr>
          <w:lang w:val="fr-FR"/>
        </w:rPr>
        <w:t>a Cour</w:t>
      </w:r>
      <w:r w:rsidR="001D3782" w:rsidRPr="008F309E">
        <w:rPr>
          <w:lang w:val="fr-FR"/>
        </w:rPr>
        <w:t xml:space="preserve"> est donc compétente à</w:t>
      </w:r>
      <w:r w:rsidRPr="008F309E">
        <w:rPr>
          <w:lang w:val="fr-FR"/>
        </w:rPr>
        <w:t xml:space="preserve"> examine</w:t>
      </w:r>
      <w:r w:rsidR="001D3782" w:rsidRPr="008F309E">
        <w:rPr>
          <w:lang w:val="fr-FR"/>
        </w:rPr>
        <w:t>r</w:t>
      </w:r>
      <w:r w:rsidRPr="008F309E">
        <w:rPr>
          <w:lang w:val="fr-FR"/>
        </w:rPr>
        <w:t xml:space="preserve"> les faits de l</w:t>
      </w:r>
      <w:r w:rsidR="00162789">
        <w:rPr>
          <w:lang w:val="fr-FR"/>
        </w:rPr>
        <w:t>’</w:t>
      </w:r>
      <w:r w:rsidRPr="008F309E">
        <w:rPr>
          <w:lang w:val="fr-FR"/>
        </w:rPr>
        <w:t>espèce également sous l</w:t>
      </w:r>
      <w:r w:rsidR="00162789">
        <w:rPr>
          <w:lang w:val="fr-FR"/>
        </w:rPr>
        <w:t>’</w:t>
      </w:r>
      <w:r w:rsidRPr="008F309E">
        <w:rPr>
          <w:lang w:val="fr-FR"/>
        </w:rPr>
        <w:t xml:space="preserve">angle de </w:t>
      </w:r>
      <w:r w:rsidR="001D3782" w:rsidRPr="008F309E">
        <w:rPr>
          <w:lang w:val="fr-FR"/>
        </w:rPr>
        <w:t>l</w:t>
      </w:r>
      <w:r w:rsidR="00162789">
        <w:rPr>
          <w:lang w:val="fr-FR"/>
        </w:rPr>
        <w:t>’</w:t>
      </w:r>
      <w:r w:rsidR="001D3782" w:rsidRPr="008F309E">
        <w:rPr>
          <w:lang w:val="fr-FR"/>
        </w:rPr>
        <w:t>article 5 § 1 de la Convention</w:t>
      </w:r>
      <w:r w:rsidRPr="008F309E">
        <w:rPr>
          <w:lang w:val="fr-FR"/>
        </w:rPr>
        <w:t>.</w:t>
      </w:r>
    </w:p>
    <w:p w:rsidR="0030782A" w:rsidRPr="008F309E" w:rsidRDefault="001D3782" w:rsidP="001D3782">
      <w:pPr>
        <w:pStyle w:val="ECHRHeading3"/>
        <w:rPr>
          <w:lang w:val="fr-FR"/>
        </w:rPr>
      </w:pPr>
      <w:r w:rsidRPr="008F309E">
        <w:rPr>
          <w:lang w:val="fr-FR"/>
        </w:rPr>
        <w:t>2.  L</w:t>
      </w:r>
      <w:r w:rsidR="00162789">
        <w:rPr>
          <w:lang w:val="fr-FR"/>
        </w:rPr>
        <w:t>’</w:t>
      </w:r>
      <w:r w:rsidRPr="008F309E">
        <w:rPr>
          <w:lang w:val="fr-FR"/>
        </w:rPr>
        <w:t>exception du Gouvernement tirée du non-épuisement des voies de recours internes</w:t>
      </w:r>
    </w:p>
    <w:p w:rsidR="004913D7" w:rsidRPr="008F309E" w:rsidRDefault="0030782A" w:rsidP="004913D7">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101</w:t>
      </w:r>
      <w:r w:rsidRPr="008F309E">
        <w:rPr>
          <w:lang w:val="fr-FR"/>
        </w:rPr>
        <w:fldChar w:fldCharType="end"/>
      </w:r>
      <w:r w:rsidRPr="008F309E">
        <w:rPr>
          <w:lang w:val="fr-FR"/>
        </w:rPr>
        <w:t>.  </w:t>
      </w:r>
      <w:r w:rsidR="004913D7" w:rsidRPr="008F309E">
        <w:rPr>
          <w:lang w:val="fr-FR"/>
        </w:rPr>
        <w:t>Le Gouvernement souligne que l</w:t>
      </w:r>
      <w:r w:rsidR="00162789">
        <w:rPr>
          <w:lang w:val="fr-FR"/>
        </w:rPr>
        <w:t>’</w:t>
      </w:r>
      <w:r w:rsidR="001D3782" w:rsidRPr="008F309E">
        <w:rPr>
          <w:lang w:val="fr-FR"/>
        </w:rPr>
        <w:t>incarcération</w:t>
      </w:r>
      <w:r w:rsidR="004913D7" w:rsidRPr="008F309E">
        <w:rPr>
          <w:lang w:val="fr-FR"/>
        </w:rPr>
        <w:t xml:space="preserve"> du requérant jusqu</w:t>
      </w:r>
      <w:r w:rsidR="00162789">
        <w:rPr>
          <w:lang w:val="fr-FR"/>
        </w:rPr>
        <w:t>’</w:t>
      </w:r>
      <w:r w:rsidR="004913D7" w:rsidRPr="008F309E">
        <w:rPr>
          <w:lang w:val="fr-FR"/>
        </w:rPr>
        <w:t>à sa libération ordonnée par la Cour de cassation le 17</w:t>
      </w:r>
      <w:r w:rsidR="00E0459E">
        <w:rPr>
          <w:lang w:val="fr-FR"/>
        </w:rPr>
        <w:t xml:space="preserve"> </w:t>
      </w:r>
      <w:r w:rsidR="004913D7" w:rsidRPr="008F309E">
        <w:rPr>
          <w:lang w:val="fr-FR"/>
        </w:rPr>
        <w:t>janvier 2011 (paragraphe</w:t>
      </w:r>
      <w:r w:rsidR="00E0459E">
        <w:rPr>
          <w:lang w:val="fr-FR"/>
        </w:rPr>
        <w:t xml:space="preserve"> </w:t>
      </w:r>
      <w:r w:rsidR="007501D0">
        <w:rPr>
          <w:noProof/>
          <w:lang w:val="fr-FR"/>
        </w:rPr>
        <w:t>37</w:t>
      </w:r>
      <w:r w:rsidR="004913D7" w:rsidRPr="008F309E">
        <w:rPr>
          <w:lang w:val="fr-FR"/>
        </w:rPr>
        <w:t xml:space="preserve"> ci-dessus) a été prise en compte pour le calcul des délais maxima de </w:t>
      </w:r>
      <w:r w:rsidR="001D3782" w:rsidRPr="008F309E">
        <w:rPr>
          <w:lang w:val="fr-FR"/>
        </w:rPr>
        <w:t>l</w:t>
      </w:r>
      <w:r w:rsidR="004913D7" w:rsidRPr="008F309E">
        <w:rPr>
          <w:lang w:val="fr-FR"/>
        </w:rPr>
        <w:t>a détention provisoire</w:t>
      </w:r>
      <w:r w:rsidR="001D3782" w:rsidRPr="008F309E">
        <w:rPr>
          <w:lang w:val="fr-FR"/>
        </w:rPr>
        <w:t xml:space="preserve"> de l</w:t>
      </w:r>
      <w:r w:rsidR="00162789">
        <w:rPr>
          <w:lang w:val="fr-FR"/>
        </w:rPr>
        <w:t>’</w:t>
      </w:r>
      <w:r w:rsidR="001D3782" w:rsidRPr="008F309E">
        <w:rPr>
          <w:lang w:val="fr-FR"/>
        </w:rPr>
        <w:t>intéressé</w:t>
      </w:r>
      <w:r w:rsidR="004913D7" w:rsidRPr="008F309E">
        <w:rPr>
          <w:lang w:val="fr-FR"/>
        </w:rPr>
        <w:t>. En outre, si à l</w:t>
      </w:r>
      <w:r w:rsidR="00162789">
        <w:rPr>
          <w:lang w:val="fr-FR"/>
        </w:rPr>
        <w:t>’</w:t>
      </w:r>
      <w:r w:rsidR="004913D7" w:rsidRPr="008F309E">
        <w:rPr>
          <w:lang w:val="fr-FR"/>
        </w:rPr>
        <w:t xml:space="preserve">issue du nouveau procès le requérant </w:t>
      </w:r>
      <w:r w:rsidR="004953D6">
        <w:rPr>
          <w:lang w:val="fr-FR"/>
        </w:rPr>
        <w:t>est</w:t>
      </w:r>
      <w:r w:rsidR="004913D7" w:rsidRPr="008F309E">
        <w:rPr>
          <w:lang w:val="fr-FR"/>
        </w:rPr>
        <w:t xml:space="preserve"> condamné, cette même période de détention sera déduite de la peine à purger. </w:t>
      </w:r>
      <w:r w:rsidR="00FE6F24">
        <w:rPr>
          <w:lang w:val="fr-FR"/>
        </w:rPr>
        <w:t>En cas d</w:t>
      </w:r>
      <w:r w:rsidR="00162789">
        <w:rPr>
          <w:lang w:val="fr-FR"/>
        </w:rPr>
        <w:t>’</w:t>
      </w:r>
      <w:r w:rsidR="00FE6F24">
        <w:rPr>
          <w:lang w:val="fr-FR"/>
        </w:rPr>
        <w:t>acquittement</w:t>
      </w:r>
      <w:r w:rsidR="004913D7" w:rsidRPr="008F309E">
        <w:rPr>
          <w:lang w:val="fr-FR"/>
        </w:rPr>
        <w:t xml:space="preserve">, elle sera déduite de toute autre condamnation prononcée à son encontre ; en tout état de cause, le requérant aura la faculté de demander une réparation pour détention « injuste » aux termes de </w:t>
      </w:r>
      <w:r w:rsidR="001D3782" w:rsidRPr="008F309E">
        <w:rPr>
          <w:lang w:val="fr-FR"/>
        </w:rPr>
        <w:t>l</w:t>
      </w:r>
      <w:r w:rsidR="00162789">
        <w:rPr>
          <w:lang w:val="fr-FR"/>
        </w:rPr>
        <w:t>’</w:t>
      </w:r>
      <w:r w:rsidR="004913D7" w:rsidRPr="008F309E">
        <w:rPr>
          <w:lang w:val="fr-FR"/>
        </w:rPr>
        <w:t>article 314 du CPP (paragraphe</w:t>
      </w:r>
      <w:r w:rsidR="00E0459E">
        <w:rPr>
          <w:lang w:val="fr-FR"/>
        </w:rPr>
        <w:t xml:space="preserve"> </w:t>
      </w:r>
      <w:r w:rsidR="007501D0">
        <w:rPr>
          <w:noProof/>
          <w:lang w:val="fr-FR"/>
        </w:rPr>
        <w:t>55</w:t>
      </w:r>
      <w:r w:rsidR="004913D7" w:rsidRPr="008F309E">
        <w:rPr>
          <w:lang w:val="fr-FR"/>
        </w:rPr>
        <w:t xml:space="preserve"> ci-dessus). Le Gouvernement en déduit que toute doléance concernant la détention du requérant est de toute manière prématurée.</w:t>
      </w:r>
    </w:p>
    <w:p w:rsidR="00C83BF4" w:rsidRPr="008F309E" w:rsidRDefault="0030782A" w:rsidP="00C83BF4">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102</w:t>
      </w:r>
      <w:r w:rsidRPr="008F309E">
        <w:rPr>
          <w:lang w:val="fr-FR"/>
        </w:rPr>
        <w:fldChar w:fldCharType="end"/>
      </w:r>
      <w:r w:rsidRPr="008F309E">
        <w:rPr>
          <w:lang w:val="fr-FR"/>
        </w:rPr>
        <w:t>.  Dans la mesure où les allégations du Gouvernement pourraient être interprétées comme une exception tirée du non-épuisement des voies de recours internes</w:t>
      </w:r>
      <w:r w:rsidR="00C83BF4" w:rsidRPr="008F309E">
        <w:rPr>
          <w:lang w:val="fr-FR"/>
        </w:rPr>
        <w:t>, la Cour rappelle que la finalité de la règle prévue par l</w:t>
      </w:r>
      <w:r w:rsidR="00162789">
        <w:rPr>
          <w:lang w:val="fr-FR"/>
        </w:rPr>
        <w:t>’</w:t>
      </w:r>
      <w:r w:rsidR="00C83BF4" w:rsidRPr="008F309E">
        <w:rPr>
          <w:lang w:val="fr-FR"/>
        </w:rPr>
        <w:t>article 35 § 1 de la Convention est de ménager aux États contractants l</w:t>
      </w:r>
      <w:r w:rsidR="00162789">
        <w:rPr>
          <w:lang w:val="fr-FR"/>
        </w:rPr>
        <w:t>’</w:t>
      </w:r>
      <w:r w:rsidR="00C83BF4" w:rsidRPr="008F309E">
        <w:rPr>
          <w:lang w:val="fr-FR"/>
        </w:rPr>
        <w:t>occasion de prévenir ou de redresser les violations alléguées contre eux avant que la Cour n</w:t>
      </w:r>
      <w:r w:rsidR="00162789">
        <w:rPr>
          <w:lang w:val="fr-FR"/>
        </w:rPr>
        <w:t>’</w:t>
      </w:r>
      <w:r w:rsidR="00C83BF4" w:rsidRPr="008F309E">
        <w:rPr>
          <w:lang w:val="fr-FR"/>
        </w:rPr>
        <w:t>en soit saisie (voir, parmi d</w:t>
      </w:r>
      <w:r w:rsidR="00162789">
        <w:rPr>
          <w:lang w:val="fr-FR"/>
        </w:rPr>
        <w:t>’</w:t>
      </w:r>
      <w:r w:rsidR="00C83BF4" w:rsidRPr="008F309E">
        <w:rPr>
          <w:lang w:val="fr-FR"/>
        </w:rPr>
        <w:t>autres,</w:t>
      </w:r>
      <w:r w:rsidR="00C83BF4" w:rsidRPr="008F309E">
        <w:rPr>
          <w:i/>
          <w:lang w:val="fr-FR"/>
        </w:rPr>
        <w:t xml:space="preserve"> Mifsud c.</w:t>
      </w:r>
      <w:r w:rsidR="00E0459E">
        <w:rPr>
          <w:i/>
          <w:lang w:val="fr-FR"/>
        </w:rPr>
        <w:t xml:space="preserve"> </w:t>
      </w:r>
      <w:r w:rsidR="00C83BF4" w:rsidRPr="008F309E">
        <w:rPr>
          <w:i/>
          <w:lang w:val="fr-FR"/>
        </w:rPr>
        <w:t>France</w:t>
      </w:r>
      <w:r w:rsidR="00C83BF4" w:rsidRPr="008F309E">
        <w:rPr>
          <w:lang w:val="fr-FR"/>
        </w:rPr>
        <w:t xml:space="preserve"> (déc.) [GC], n</w:t>
      </w:r>
      <w:r w:rsidR="00C83BF4" w:rsidRPr="008F309E">
        <w:rPr>
          <w:vertAlign w:val="superscript"/>
          <w:lang w:val="fr-FR"/>
        </w:rPr>
        <w:t>o</w:t>
      </w:r>
      <w:r w:rsidR="00E0459E">
        <w:rPr>
          <w:lang w:val="fr-FR"/>
        </w:rPr>
        <w:t xml:space="preserve"> </w:t>
      </w:r>
      <w:r w:rsidR="00C83BF4" w:rsidRPr="008F309E">
        <w:rPr>
          <w:lang w:val="fr-FR"/>
        </w:rPr>
        <w:t>57220/00, § 15, CEDH 2002-VIII).</w:t>
      </w:r>
    </w:p>
    <w:p w:rsidR="00C83BF4" w:rsidRPr="008F309E" w:rsidRDefault="00C83BF4" w:rsidP="00C83BF4">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103</w:t>
      </w:r>
      <w:r w:rsidRPr="008F309E">
        <w:rPr>
          <w:lang w:val="fr-FR"/>
        </w:rPr>
        <w:fldChar w:fldCharType="end"/>
      </w:r>
      <w:r w:rsidRPr="008F309E">
        <w:rPr>
          <w:lang w:val="fr-FR"/>
        </w:rPr>
        <w:t>.  Les principes généraux relatifs à cette règle se trouvent exposés dans l</w:t>
      </w:r>
      <w:r w:rsidR="00162789">
        <w:rPr>
          <w:lang w:val="fr-FR"/>
        </w:rPr>
        <w:t>’</w:t>
      </w:r>
      <w:r w:rsidRPr="008F309E">
        <w:rPr>
          <w:lang w:val="fr-FR"/>
        </w:rPr>
        <w:t xml:space="preserve">arrêt </w:t>
      </w:r>
      <w:r w:rsidRPr="008F309E">
        <w:rPr>
          <w:i/>
          <w:lang w:val="fr-FR"/>
        </w:rPr>
        <w:t>Vučković et autres c.</w:t>
      </w:r>
      <w:r w:rsidR="00E0459E">
        <w:rPr>
          <w:i/>
          <w:lang w:val="fr-FR"/>
        </w:rPr>
        <w:t xml:space="preserve"> </w:t>
      </w:r>
      <w:r w:rsidRPr="008F309E">
        <w:rPr>
          <w:i/>
          <w:lang w:val="fr-FR"/>
        </w:rPr>
        <w:t>Serbie</w:t>
      </w:r>
      <w:r w:rsidRPr="008F309E">
        <w:rPr>
          <w:lang w:val="fr-FR"/>
        </w:rPr>
        <w:t xml:space="preserve"> ([GC], n</w:t>
      </w:r>
      <w:r w:rsidRPr="008F309E">
        <w:rPr>
          <w:vertAlign w:val="superscript"/>
          <w:lang w:val="fr-FR"/>
        </w:rPr>
        <w:t>os</w:t>
      </w:r>
      <w:r w:rsidR="009A795C">
        <w:rPr>
          <w:lang w:val="fr-FR"/>
        </w:rPr>
        <w:t xml:space="preserve"> 17153/11 et autres, §§ 69</w:t>
      </w:r>
      <w:r w:rsidR="009A795C">
        <w:rPr>
          <w:lang w:val="fr-FR"/>
        </w:rPr>
        <w:noBreakHyphen/>
      </w:r>
      <w:r w:rsidRPr="008F309E">
        <w:rPr>
          <w:lang w:val="fr-FR"/>
        </w:rPr>
        <w:t>77, 25 mars 2014). La Cour rappelle que l</w:t>
      </w:r>
      <w:r w:rsidR="00162789">
        <w:rPr>
          <w:lang w:val="fr-FR"/>
        </w:rPr>
        <w:t>’</w:t>
      </w:r>
      <w:r w:rsidRPr="008F309E">
        <w:rPr>
          <w:lang w:val="fr-FR"/>
        </w:rPr>
        <w:t>article 35 §</w:t>
      </w:r>
      <w:r w:rsidR="00E0459E">
        <w:rPr>
          <w:lang w:val="fr-FR"/>
        </w:rPr>
        <w:t xml:space="preserve"> </w:t>
      </w:r>
      <w:r w:rsidRPr="008F309E">
        <w:rPr>
          <w:lang w:val="fr-FR"/>
        </w:rPr>
        <w:t>1 de la Convention ne prescrit que l</w:t>
      </w:r>
      <w:r w:rsidR="00162789">
        <w:rPr>
          <w:lang w:val="fr-FR"/>
        </w:rPr>
        <w:t>’</w:t>
      </w:r>
      <w:r w:rsidRPr="008F309E">
        <w:rPr>
          <w:lang w:val="fr-FR"/>
        </w:rPr>
        <w:t xml:space="preserve">épuisement des recours à la fois relatifs aux violations incriminées, disponibles et adéquats. Un recours est effectif </w:t>
      </w:r>
      <w:r w:rsidRPr="008F309E">
        <w:rPr>
          <w:lang w:val="fr-FR"/>
        </w:rPr>
        <w:lastRenderedPageBreak/>
        <w:t>lorsqu</w:t>
      </w:r>
      <w:r w:rsidR="00162789">
        <w:rPr>
          <w:lang w:val="fr-FR"/>
        </w:rPr>
        <w:t>’</w:t>
      </w:r>
      <w:r w:rsidRPr="008F309E">
        <w:rPr>
          <w:lang w:val="fr-FR"/>
        </w:rPr>
        <w:t>il est disponible tant en théorie qu</w:t>
      </w:r>
      <w:r w:rsidR="00162789">
        <w:rPr>
          <w:lang w:val="fr-FR"/>
        </w:rPr>
        <w:t>’</w:t>
      </w:r>
      <w:r w:rsidRPr="008F309E">
        <w:rPr>
          <w:lang w:val="fr-FR"/>
        </w:rPr>
        <w:t>en pratique à l</w:t>
      </w:r>
      <w:r w:rsidR="00162789">
        <w:rPr>
          <w:lang w:val="fr-FR"/>
        </w:rPr>
        <w:t>’</w:t>
      </w:r>
      <w:r w:rsidRPr="008F309E">
        <w:rPr>
          <w:lang w:val="fr-FR"/>
        </w:rPr>
        <w:t>époque des faits, c</w:t>
      </w:r>
      <w:r w:rsidR="00162789">
        <w:rPr>
          <w:lang w:val="fr-FR"/>
        </w:rPr>
        <w:t>’</w:t>
      </w:r>
      <w:r w:rsidRPr="008F309E">
        <w:rPr>
          <w:lang w:val="fr-FR"/>
        </w:rPr>
        <w:t>est-à-dire lorsqu</w:t>
      </w:r>
      <w:r w:rsidR="00162789">
        <w:rPr>
          <w:lang w:val="fr-FR"/>
        </w:rPr>
        <w:t>’</w:t>
      </w:r>
      <w:r w:rsidRPr="008F309E">
        <w:rPr>
          <w:lang w:val="fr-FR"/>
        </w:rPr>
        <w:t>il est accessible, susceptible d</w:t>
      </w:r>
      <w:r w:rsidR="00162789">
        <w:rPr>
          <w:lang w:val="fr-FR"/>
        </w:rPr>
        <w:t>’</w:t>
      </w:r>
      <w:r w:rsidRPr="008F309E">
        <w:rPr>
          <w:lang w:val="fr-FR"/>
        </w:rPr>
        <w:t>offrir au requérant le redressement de ses griefs et présente des perspectives raisonnables de succès (</w:t>
      </w:r>
      <w:r w:rsidRPr="008F309E">
        <w:rPr>
          <w:i/>
          <w:lang w:val="fr-FR"/>
        </w:rPr>
        <w:t>Akdivar et autres c.</w:t>
      </w:r>
      <w:r w:rsidR="00E0459E">
        <w:rPr>
          <w:i/>
          <w:lang w:val="fr-FR"/>
        </w:rPr>
        <w:t xml:space="preserve"> </w:t>
      </w:r>
      <w:r w:rsidRPr="008F309E">
        <w:rPr>
          <w:i/>
          <w:lang w:val="fr-FR"/>
        </w:rPr>
        <w:t>Turquie</w:t>
      </w:r>
      <w:r w:rsidRPr="008F309E">
        <w:rPr>
          <w:lang w:val="fr-FR"/>
        </w:rPr>
        <w:t>, 16</w:t>
      </w:r>
      <w:r w:rsidR="00E0459E">
        <w:rPr>
          <w:lang w:val="fr-FR"/>
        </w:rPr>
        <w:t xml:space="preserve"> </w:t>
      </w:r>
      <w:r w:rsidRPr="008F309E">
        <w:rPr>
          <w:lang w:val="fr-FR"/>
        </w:rPr>
        <w:t xml:space="preserve">septembre 1996, § 68, </w:t>
      </w:r>
      <w:r w:rsidRPr="008F309E">
        <w:rPr>
          <w:i/>
          <w:lang w:val="fr-FR"/>
        </w:rPr>
        <w:t xml:space="preserve">Recueil </w:t>
      </w:r>
      <w:r w:rsidR="009A795C">
        <w:rPr>
          <w:lang w:val="fr-FR"/>
        </w:rPr>
        <w:t>1996</w:t>
      </w:r>
      <w:r w:rsidR="009A795C">
        <w:rPr>
          <w:lang w:val="fr-FR"/>
        </w:rPr>
        <w:noBreakHyphen/>
      </w:r>
      <w:r w:rsidRPr="008F309E">
        <w:rPr>
          <w:lang w:val="fr-FR"/>
        </w:rPr>
        <w:t xml:space="preserve">IV ; </w:t>
      </w:r>
      <w:r w:rsidRPr="008F309E">
        <w:rPr>
          <w:i/>
          <w:snapToGrid w:val="0"/>
          <w:lang w:val="fr-FR"/>
        </w:rPr>
        <w:t>Demopoulos et autres c.</w:t>
      </w:r>
      <w:r w:rsidR="00E0459E">
        <w:rPr>
          <w:i/>
          <w:snapToGrid w:val="0"/>
          <w:lang w:val="fr-FR"/>
        </w:rPr>
        <w:t xml:space="preserve"> </w:t>
      </w:r>
      <w:r w:rsidRPr="008F309E">
        <w:rPr>
          <w:i/>
          <w:snapToGrid w:val="0"/>
          <w:lang w:val="fr-FR"/>
        </w:rPr>
        <w:t xml:space="preserve">Turquie </w:t>
      </w:r>
      <w:r w:rsidRPr="008F309E">
        <w:rPr>
          <w:snapToGrid w:val="0"/>
          <w:lang w:val="fr-FR"/>
        </w:rPr>
        <w:t>(déc.) [GC], n</w:t>
      </w:r>
      <w:r w:rsidRPr="008F309E">
        <w:rPr>
          <w:snapToGrid w:val="0"/>
          <w:vertAlign w:val="superscript"/>
          <w:lang w:val="fr-FR"/>
        </w:rPr>
        <w:t>os</w:t>
      </w:r>
      <w:r w:rsidRPr="008F309E">
        <w:rPr>
          <w:snapToGrid w:val="0"/>
          <w:lang w:val="fr-FR"/>
        </w:rPr>
        <w:t xml:space="preserve"> 46113/99, 3843/02, 13751/02, 13466/03, 10200/04, 14163/04, 19993/04 et 21819/04</w:t>
      </w:r>
      <w:r w:rsidR="009A795C">
        <w:rPr>
          <w:lang w:val="fr-FR"/>
        </w:rPr>
        <w:t>, § </w:t>
      </w:r>
      <w:r w:rsidRPr="008F309E">
        <w:rPr>
          <w:lang w:val="fr-FR"/>
        </w:rPr>
        <w:t xml:space="preserve">70, CEDH 2010 ; </w:t>
      </w:r>
      <w:r w:rsidRPr="008F309E">
        <w:rPr>
          <w:i/>
          <w:lang w:val="fr-FR"/>
        </w:rPr>
        <w:t>Saba c. Italie</w:t>
      </w:r>
      <w:r w:rsidRPr="008F309E">
        <w:rPr>
          <w:lang w:val="fr-FR"/>
        </w:rPr>
        <w:t>, n</w:t>
      </w:r>
      <w:r w:rsidRPr="008F309E">
        <w:rPr>
          <w:vertAlign w:val="superscript"/>
          <w:lang w:val="fr-FR"/>
        </w:rPr>
        <w:t>o</w:t>
      </w:r>
      <w:r w:rsidRPr="008F309E">
        <w:rPr>
          <w:lang w:val="fr-FR"/>
        </w:rPr>
        <w:t xml:space="preserve"> 36629/10, § 43, 1</w:t>
      </w:r>
      <w:r w:rsidRPr="008F309E">
        <w:rPr>
          <w:vertAlign w:val="superscript"/>
          <w:lang w:val="fr-FR"/>
        </w:rPr>
        <w:t>er</w:t>
      </w:r>
      <w:r w:rsidRPr="008F309E">
        <w:rPr>
          <w:lang w:val="fr-FR"/>
        </w:rPr>
        <w:t xml:space="preserve"> juillet 2014 ; et </w:t>
      </w:r>
      <w:r w:rsidRPr="008F309E">
        <w:rPr>
          <w:i/>
          <w:lang w:val="fr-FR"/>
        </w:rPr>
        <w:t xml:space="preserve">Giuttari c. Italie </w:t>
      </w:r>
      <w:r w:rsidRPr="008F309E">
        <w:rPr>
          <w:lang w:val="fr-FR"/>
        </w:rPr>
        <w:t>(déc.), n</w:t>
      </w:r>
      <w:r w:rsidR="005559D3" w:rsidRPr="005559D3">
        <w:rPr>
          <w:vertAlign w:val="superscript"/>
          <w:lang w:val="fr-FR"/>
        </w:rPr>
        <w:t>o</w:t>
      </w:r>
      <w:r w:rsidRPr="008F309E">
        <w:rPr>
          <w:lang w:val="fr-FR"/>
        </w:rPr>
        <w:t xml:space="preserve"> 42733/07, § 35, 2 décembre 2014).</w:t>
      </w:r>
    </w:p>
    <w:p w:rsidR="005559D3" w:rsidRDefault="00C83BF4" w:rsidP="00DE280A">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104</w:t>
      </w:r>
      <w:r w:rsidRPr="008F309E">
        <w:rPr>
          <w:lang w:val="fr-FR"/>
        </w:rPr>
        <w:fldChar w:fldCharType="end"/>
      </w:r>
      <w:r w:rsidRPr="008F309E">
        <w:rPr>
          <w:lang w:val="fr-FR"/>
        </w:rPr>
        <w:t>.  En l</w:t>
      </w:r>
      <w:r w:rsidR="00162789">
        <w:rPr>
          <w:lang w:val="fr-FR"/>
        </w:rPr>
        <w:t>’</w:t>
      </w:r>
      <w:r w:rsidRPr="008F309E">
        <w:rPr>
          <w:lang w:val="fr-FR"/>
        </w:rPr>
        <w:t xml:space="preserve">espèce, le Gouvernement </w:t>
      </w:r>
      <w:r w:rsidR="004E211B" w:rsidRPr="008F309E">
        <w:rPr>
          <w:lang w:val="fr-FR"/>
        </w:rPr>
        <w:t xml:space="preserve">allègue, en substance, que les répercussions de la détention subie par le requérant ne pourront être évaluées </w:t>
      </w:r>
      <w:r w:rsidR="00924CE7" w:rsidRPr="008F309E">
        <w:rPr>
          <w:lang w:val="fr-FR"/>
        </w:rPr>
        <w:t>qu</w:t>
      </w:r>
      <w:r w:rsidR="00162789">
        <w:rPr>
          <w:lang w:val="fr-FR"/>
        </w:rPr>
        <w:t>’</w:t>
      </w:r>
      <w:r w:rsidR="004E211B" w:rsidRPr="008F309E">
        <w:rPr>
          <w:lang w:val="fr-FR"/>
        </w:rPr>
        <w:t>à la fin de son nouveau procès. En particulier, en cas de relaxe, l</w:t>
      </w:r>
      <w:r w:rsidR="00162789">
        <w:rPr>
          <w:lang w:val="fr-FR"/>
        </w:rPr>
        <w:t>’</w:t>
      </w:r>
      <w:r w:rsidR="004E211B" w:rsidRPr="008F309E">
        <w:rPr>
          <w:lang w:val="fr-FR"/>
        </w:rPr>
        <w:t>intéressé pourra demander une réparation pour détention injuste aux termes de l</w:t>
      </w:r>
      <w:r w:rsidR="00162789">
        <w:rPr>
          <w:lang w:val="fr-FR"/>
        </w:rPr>
        <w:t>’</w:t>
      </w:r>
      <w:r w:rsidR="004E211B" w:rsidRPr="008F309E">
        <w:rPr>
          <w:lang w:val="fr-FR"/>
        </w:rPr>
        <w:t>article 314 du CPP.</w:t>
      </w:r>
    </w:p>
    <w:p w:rsidR="00924CE7" w:rsidRPr="008F309E" w:rsidRDefault="00924CE7" w:rsidP="00DE280A">
      <w:pPr>
        <w:pStyle w:val="ECHRPara"/>
        <w:rPr>
          <w:color w:val="000000"/>
          <w:szCs w:val="24"/>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105</w:t>
      </w:r>
      <w:r w:rsidRPr="008F309E">
        <w:rPr>
          <w:lang w:val="fr-FR"/>
        </w:rPr>
        <w:fldChar w:fldCharType="end"/>
      </w:r>
      <w:r w:rsidRPr="008F309E">
        <w:rPr>
          <w:lang w:val="fr-FR"/>
        </w:rPr>
        <w:t>.  </w:t>
      </w:r>
      <w:r w:rsidR="004E211B" w:rsidRPr="008F309E">
        <w:rPr>
          <w:lang w:val="fr-FR"/>
        </w:rPr>
        <w:t>La Cour observe que le premier paragraphe de cette disposition prévoit un droit à dédom</w:t>
      </w:r>
      <w:r w:rsidR="004E211B" w:rsidRPr="008F309E">
        <w:rPr>
          <w:szCs w:val="24"/>
          <w:lang w:val="fr-FR"/>
        </w:rPr>
        <w:t xml:space="preserve">magement en faveur de </w:t>
      </w:r>
      <w:r w:rsidR="004E211B" w:rsidRPr="008F309E">
        <w:rPr>
          <w:color w:val="000000"/>
          <w:szCs w:val="24"/>
          <w:lang w:val="fr-FR"/>
        </w:rPr>
        <w:t>toute personne « relaxé[e] par un jugement définitif au motif que les faits reprochés ne se sont pas produits, qu</w:t>
      </w:r>
      <w:r w:rsidR="00162789">
        <w:rPr>
          <w:color w:val="000000"/>
          <w:szCs w:val="24"/>
          <w:lang w:val="fr-FR"/>
        </w:rPr>
        <w:t>’</w:t>
      </w:r>
      <w:r w:rsidR="004E211B" w:rsidRPr="008F309E">
        <w:rPr>
          <w:color w:val="000000"/>
          <w:szCs w:val="24"/>
          <w:lang w:val="fr-FR"/>
        </w:rPr>
        <w:t>[elle] n</w:t>
      </w:r>
      <w:r w:rsidR="00162789">
        <w:rPr>
          <w:color w:val="000000"/>
          <w:szCs w:val="24"/>
          <w:lang w:val="fr-FR"/>
        </w:rPr>
        <w:t>’</w:t>
      </w:r>
      <w:r w:rsidR="004E211B" w:rsidRPr="008F309E">
        <w:rPr>
          <w:color w:val="000000"/>
          <w:szCs w:val="24"/>
          <w:lang w:val="fr-FR"/>
        </w:rPr>
        <w:t>a pas commis les faits, que les faits ne sont pas constitutifs d</w:t>
      </w:r>
      <w:r w:rsidR="00162789">
        <w:rPr>
          <w:color w:val="000000"/>
          <w:szCs w:val="24"/>
          <w:lang w:val="fr-FR"/>
        </w:rPr>
        <w:t>’</w:t>
      </w:r>
      <w:r w:rsidR="004E211B" w:rsidRPr="008F309E">
        <w:rPr>
          <w:color w:val="000000"/>
          <w:szCs w:val="24"/>
          <w:lang w:val="fr-FR"/>
        </w:rPr>
        <w:t>une infraction ou ne sont pas érigés en infraction par la loi ». La raison d</w:t>
      </w:r>
      <w:r w:rsidR="00162789">
        <w:rPr>
          <w:color w:val="000000"/>
          <w:szCs w:val="24"/>
          <w:lang w:val="fr-FR"/>
        </w:rPr>
        <w:t>’</w:t>
      </w:r>
      <w:r w:rsidR="004E211B" w:rsidRPr="008F309E">
        <w:rPr>
          <w:color w:val="000000"/>
          <w:szCs w:val="24"/>
          <w:lang w:val="fr-FR"/>
        </w:rPr>
        <w:t>être d</w:t>
      </w:r>
      <w:r w:rsidR="00162789">
        <w:rPr>
          <w:color w:val="000000"/>
          <w:szCs w:val="24"/>
          <w:lang w:val="fr-FR"/>
        </w:rPr>
        <w:t>’</w:t>
      </w:r>
      <w:r w:rsidR="004E211B" w:rsidRPr="008F309E">
        <w:rPr>
          <w:color w:val="000000"/>
          <w:szCs w:val="24"/>
          <w:lang w:val="fr-FR"/>
        </w:rPr>
        <w:t>un tel droit est donc l</w:t>
      </w:r>
      <w:r w:rsidR="00162789">
        <w:rPr>
          <w:color w:val="000000"/>
          <w:szCs w:val="24"/>
          <w:lang w:val="fr-FR"/>
        </w:rPr>
        <w:t>’</w:t>
      </w:r>
      <w:r w:rsidR="004E211B" w:rsidRPr="008F309E">
        <w:rPr>
          <w:color w:val="000000"/>
          <w:szCs w:val="24"/>
          <w:lang w:val="fr-FR"/>
        </w:rPr>
        <w:t xml:space="preserve">acquittement du prévenu sur le fond et non la nature arbitraire de la détention </w:t>
      </w:r>
      <w:r w:rsidR="00DE280A" w:rsidRPr="008F309E">
        <w:rPr>
          <w:color w:val="000000"/>
          <w:szCs w:val="24"/>
          <w:lang w:val="fr-FR"/>
        </w:rPr>
        <w:t>à cause de la négation des droits fondamentaux de la défense au cours du procès. De plus, il ne s</w:t>
      </w:r>
      <w:r w:rsidR="00162789">
        <w:rPr>
          <w:color w:val="000000"/>
          <w:szCs w:val="24"/>
          <w:lang w:val="fr-FR"/>
        </w:rPr>
        <w:t>’</w:t>
      </w:r>
      <w:r w:rsidR="00DE280A" w:rsidRPr="008F309E">
        <w:rPr>
          <w:color w:val="000000"/>
          <w:szCs w:val="24"/>
          <w:lang w:val="fr-FR"/>
        </w:rPr>
        <w:t>agit pas d</w:t>
      </w:r>
      <w:r w:rsidR="00162789">
        <w:rPr>
          <w:color w:val="000000"/>
          <w:szCs w:val="24"/>
          <w:lang w:val="fr-FR"/>
        </w:rPr>
        <w:t>’</w:t>
      </w:r>
      <w:r w:rsidR="00DE280A" w:rsidRPr="008F309E">
        <w:rPr>
          <w:color w:val="000000"/>
          <w:szCs w:val="24"/>
          <w:lang w:val="fr-FR"/>
        </w:rPr>
        <w:t>un recours visant à faire constater la contrariété d</w:t>
      </w:r>
      <w:r w:rsidR="00162789">
        <w:rPr>
          <w:color w:val="000000"/>
          <w:szCs w:val="24"/>
          <w:lang w:val="fr-FR"/>
        </w:rPr>
        <w:t>’</w:t>
      </w:r>
      <w:r w:rsidR="00DE280A" w:rsidRPr="008F309E">
        <w:rPr>
          <w:color w:val="000000"/>
          <w:szCs w:val="24"/>
          <w:lang w:val="fr-FR"/>
        </w:rPr>
        <w:t>une privation de liberté aux conditions établies à l</w:t>
      </w:r>
      <w:r w:rsidR="00162789">
        <w:rPr>
          <w:color w:val="000000"/>
          <w:szCs w:val="24"/>
          <w:lang w:val="fr-FR"/>
        </w:rPr>
        <w:t>’</w:t>
      </w:r>
      <w:r w:rsidR="00DE280A" w:rsidRPr="008F309E">
        <w:rPr>
          <w:color w:val="000000"/>
          <w:szCs w:val="24"/>
          <w:lang w:val="fr-FR"/>
        </w:rPr>
        <w:t>article 5 § 1 de la Convention et, le cas échéant, à obtenir la libération de l</w:t>
      </w:r>
      <w:r w:rsidR="00162789">
        <w:rPr>
          <w:color w:val="000000"/>
          <w:szCs w:val="24"/>
          <w:lang w:val="fr-FR"/>
        </w:rPr>
        <w:t>’</w:t>
      </w:r>
      <w:r w:rsidR="00DE280A" w:rsidRPr="008F309E">
        <w:rPr>
          <w:color w:val="000000"/>
          <w:szCs w:val="24"/>
          <w:lang w:val="fr-FR"/>
        </w:rPr>
        <w:t xml:space="preserve">intéressé. </w:t>
      </w:r>
      <w:r w:rsidR="00263177" w:rsidRPr="008F309E">
        <w:rPr>
          <w:color w:val="000000"/>
          <w:szCs w:val="24"/>
          <w:lang w:val="fr-FR"/>
        </w:rPr>
        <w:t>L</w:t>
      </w:r>
      <w:r w:rsidR="00DE280A" w:rsidRPr="008F309E">
        <w:rPr>
          <w:color w:val="000000"/>
          <w:szCs w:val="24"/>
          <w:lang w:val="fr-FR"/>
        </w:rPr>
        <w:t xml:space="preserve">e dédommagement pour détention injuste est </w:t>
      </w:r>
      <w:r w:rsidR="00263177" w:rsidRPr="008F309E">
        <w:rPr>
          <w:color w:val="000000"/>
          <w:szCs w:val="24"/>
          <w:lang w:val="fr-FR"/>
        </w:rPr>
        <w:t xml:space="preserve">en effet </w:t>
      </w:r>
      <w:r w:rsidR="00DE280A" w:rsidRPr="008F309E">
        <w:rPr>
          <w:color w:val="000000"/>
          <w:szCs w:val="24"/>
          <w:lang w:val="fr-FR"/>
        </w:rPr>
        <w:t xml:space="preserve">plutôt une forme de réparation des erreurs judiciaires. </w:t>
      </w:r>
      <w:r w:rsidRPr="008F309E">
        <w:rPr>
          <w:color w:val="000000"/>
          <w:szCs w:val="24"/>
          <w:lang w:val="fr-FR"/>
        </w:rPr>
        <w:t xml:space="preserve">Le </w:t>
      </w:r>
      <w:r w:rsidR="00B26432">
        <w:rPr>
          <w:color w:val="000000"/>
          <w:szCs w:val="24"/>
          <w:lang w:val="fr-FR"/>
        </w:rPr>
        <w:t>recours</w:t>
      </w:r>
      <w:r w:rsidRPr="008F309E">
        <w:rPr>
          <w:color w:val="000000"/>
          <w:szCs w:val="24"/>
          <w:lang w:val="fr-FR"/>
        </w:rPr>
        <w:t xml:space="preserve"> indiqué par le Gouvernement n</w:t>
      </w:r>
      <w:r w:rsidR="00162789">
        <w:rPr>
          <w:color w:val="000000"/>
          <w:szCs w:val="24"/>
          <w:lang w:val="fr-FR"/>
        </w:rPr>
        <w:t>’</w:t>
      </w:r>
      <w:r w:rsidRPr="008F309E">
        <w:rPr>
          <w:color w:val="000000"/>
          <w:szCs w:val="24"/>
          <w:lang w:val="fr-FR"/>
        </w:rPr>
        <w:t>est donc pas relatif à la violation incriminée.</w:t>
      </w:r>
    </w:p>
    <w:p w:rsidR="0030782A" w:rsidRPr="008F309E" w:rsidRDefault="00263177" w:rsidP="00DE280A">
      <w:pPr>
        <w:pStyle w:val="ECHRPara"/>
        <w:rPr>
          <w:lang w:val="fr-FR"/>
        </w:rPr>
      </w:pPr>
      <w:r w:rsidRPr="008F309E">
        <w:rPr>
          <w:color w:val="000000"/>
          <w:szCs w:val="24"/>
          <w:lang w:val="fr-FR"/>
        </w:rPr>
        <w:fldChar w:fldCharType="begin"/>
      </w:r>
      <w:r w:rsidRPr="008F309E">
        <w:rPr>
          <w:color w:val="000000"/>
          <w:szCs w:val="24"/>
          <w:lang w:val="fr-FR"/>
        </w:rPr>
        <w:instrText xml:space="preserve"> SEQ level0 \*arabic </w:instrText>
      </w:r>
      <w:r w:rsidRPr="008F309E">
        <w:rPr>
          <w:color w:val="000000"/>
          <w:szCs w:val="24"/>
          <w:lang w:val="fr-FR"/>
        </w:rPr>
        <w:fldChar w:fldCharType="separate"/>
      </w:r>
      <w:r w:rsidR="0051458B">
        <w:rPr>
          <w:noProof/>
          <w:color w:val="000000"/>
          <w:szCs w:val="24"/>
          <w:lang w:val="fr-FR"/>
        </w:rPr>
        <w:t>106</w:t>
      </w:r>
      <w:r w:rsidRPr="008F309E">
        <w:rPr>
          <w:color w:val="000000"/>
          <w:szCs w:val="24"/>
          <w:lang w:val="fr-FR"/>
        </w:rPr>
        <w:fldChar w:fldCharType="end"/>
      </w:r>
      <w:r w:rsidRPr="008F309E">
        <w:rPr>
          <w:color w:val="000000"/>
          <w:szCs w:val="24"/>
          <w:lang w:val="fr-FR"/>
        </w:rPr>
        <w:t>.  </w:t>
      </w:r>
      <w:r w:rsidR="00DE280A" w:rsidRPr="008F309E">
        <w:rPr>
          <w:color w:val="000000"/>
          <w:szCs w:val="24"/>
          <w:lang w:val="fr-FR"/>
        </w:rPr>
        <w:t xml:space="preserve">Enfin, </w:t>
      </w:r>
      <w:r w:rsidRPr="008F309E">
        <w:rPr>
          <w:color w:val="000000"/>
          <w:szCs w:val="24"/>
          <w:lang w:val="fr-FR"/>
        </w:rPr>
        <w:t>la Cour estime qu</w:t>
      </w:r>
      <w:r w:rsidR="00162789">
        <w:rPr>
          <w:color w:val="000000"/>
          <w:szCs w:val="24"/>
          <w:lang w:val="fr-FR"/>
        </w:rPr>
        <w:t>’</w:t>
      </w:r>
      <w:r w:rsidR="00DE280A" w:rsidRPr="008F309E">
        <w:rPr>
          <w:color w:val="000000"/>
          <w:szCs w:val="24"/>
          <w:lang w:val="fr-FR"/>
        </w:rPr>
        <w:t>il serait excessif de demander au requérant, qui a été détenu en exécution d</w:t>
      </w:r>
      <w:r w:rsidR="00162789">
        <w:rPr>
          <w:color w:val="000000"/>
          <w:szCs w:val="24"/>
          <w:lang w:val="fr-FR"/>
        </w:rPr>
        <w:t>’</w:t>
      </w:r>
      <w:r w:rsidR="00DE280A" w:rsidRPr="008F309E">
        <w:rPr>
          <w:color w:val="000000"/>
          <w:szCs w:val="24"/>
          <w:lang w:val="fr-FR"/>
        </w:rPr>
        <w:t>une condamnation par contumace jusqu</w:t>
      </w:r>
      <w:r w:rsidR="00162789">
        <w:rPr>
          <w:color w:val="000000"/>
          <w:szCs w:val="24"/>
          <w:lang w:val="fr-FR"/>
        </w:rPr>
        <w:t>’</w:t>
      </w:r>
      <w:r w:rsidR="00DE280A" w:rsidRPr="008F309E">
        <w:rPr>
          <w:color w:val="000000"/>
          <w:szCs w:val="24"/>
          <w:lang w:val="fr-FR"/>
        </w:rPr>
        <w:t>à janvier 2011, et donc pendant environ neuf ans et neuf mois, d</w:t>
      </w:r>
      <w:r w:rsidR="00162789">
        <w:rPr>
          <w:color w:val="000000"/>
          <w:szCs w:val="24"/>
          <w:lang w:val="fr-FR"/>
        </w:rPr>
        <w:t>’</w:t>
      </w:r>
      <w:r w:rsidR="00DE280A" w:rsidRPr="008F309E">
        <w:rPr>
          <w:color w:val="000000"/>
          <w:szCs w:val="24"/>
          <w:lang w:val="fr-FR"/>
        </w:rPr>
        <w:t>attendre l</w:t>
      </w:r>
      <w:r w:rsidR="00162789">
        <w:rPr>
          <w:color w:val="000000"/>
          <w:szCs w:val="24"/>
          <w:lang w:val="fr-FR"/>
        </w:rPr>
        <w:t>’</w:t>
      </w:r>
      <w:r w:rsidR="00DE280A" w:rsidRPr="008F309E">
        <w:rPr>
          <w:color w:val="000000"/>
          <w:szCs w:val="24"/>
          <w:lang w:val="fr-FR"/>
        </w:rPr>
        <w:t>issue du nouveau procès à son encontre et d</w:t>
      </w:r>
      <w:r w:rsidR="00162789">
        <w:rPr>
          <w:color w:val="000000"/>
          <w:szCs w:val="24"/>
          <w:lang w:val="fr-FR"/>
        </w:rPr>
        <w:t>’</w:t>
      </w:r>
      <w:r w:rsidR="00DE280A" w:rsidRPr="008F309E">
        <w:rPr>
          <w:color w:val="000000"/>
          <w:szCs w:val="24"/>
          <w:lang w:val="fr-FR"/>
        </w:rPr>
        <w:t>un éventuel recours pour détention injuste avant de pouvoir dénoncer devant la Cour le caractère arbitraire de la privation de liberté à laquelle il a été soumis.</w:t>
      </w:r>
    </w:p>
    <w:p w:rsidR="0030782A" w:rsidRPr="008F309E" w:rsidRDefault="0030782A" w:rsidP="004913D7">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107</w:t>
      </w:r>
      <w:r w:rsidRPr="008F309E">
        <w:rPr>
          <w:lang w:val="fr-FR"/>
        </w:rPr>
        <w:fldChar w:fldCharType="end"/>
      </w:r>
      <w:r w:rsidRPr="008F309E">
        <w:rPr>
          <w:lang w:val="fr-FR"/>
        </w:rPr>
        <w:t>.  Dans ces circonstances, le grief tiré de l</w:t>
      </w:r>
      <w:r w:rsidR="00162789">
        <w:rPr>
          <w:lang w:val="fr-FR"/>
        </w:rPr>
        <w:t>’</w:t>
      </w:r>
      <w:r w:rsidRPr="008F309E">
        <w:rPr>
          <w:lang w:val="fr-FR"/>
        </w:rPr>
        <w:t>article 5 de la Convention ne saurait être déclaré irrecevable comme étant prématuré.</w:t>
      </w:r>
      <w:r w:rsidR="00263177" w:rsidRPr="008F309E">
        <w:rPr>
          <w:lang w:val="fr-FR"/>
        </w:rPr>
        <w:t xml:space="preserve"> L</w:t>
      </w:r>
      <w:r w:rsidR="00162789">
        <w:rPr>
          <w:lang w:val="fr-FR"/>
        </w:rPr>
        <w:t>’</w:t>
      </w:r>
      <w:r w:rsidR="00263177" w:rsidRPr="008F309E">
        <w:rPr>
          <w:lang w:val="fr-FR"/>
        </w:rPr>
        <w:t>exception du Gouvernement doit donc être rejetée.</w:t>
      </w:r>
    </w:p>
    <w:p w:rsidR="001D3782" w:rsidRPr="008F309E" w:rsidRDefault="001D3782" w:rsidP="001D3782">
      <w:pPr>
        <w:pStyle w:val="ECHRHeading3"/>
        <w:rPr>
          <w:lang w:val="fr-FR"/>
        </w:rPr>
      </w:pPr>
      <w:r w:rsidRPr="008F309E">
        <w:rPr>
          <w:lang w:val="fr-FR"/>
        </w:rPr>
        <w:t>3.  Autres motifs d</w:t>
      </w:r>
      <w:r w:rsidR="00162789">
        <w:rPr>
          <w:lang w:val="fr-FR"/>
        </w:rPr>
        <w:t>’</w:t>
      </w:r>
      <w:r w:rsidRPr="008F309E">
        <w:rPr>
          <w:lang w:val="fr-FR"/>
        </w:rPr>
        <w:t>irrecevabilité</w:t>
      </w:r>
    </w:p>
    <w:p w:rsidR="0030782A" w:rsidRPr="008F309E" w:rsidRDefault="0030782A" w:rsidP="004913D7">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108</w:t>
      </w:r>
      <w:r w:rsidRPr="008F309E">
        <w:rPr>
          <w:lang w:val="fr-FR"/>
        </w:rPr>
        <w:fldChar w:fldCharType="end"/>
      </w:r>
      <w:r w:rsidRPr="008F309E">
        <w:rPr>
          <w:lang w:val="fr-FR"/>
        </w:rPr>
        <w:t xml:space="preserve">.  La Cour note </w:t>
      </w:r>
      <w:r w:rsidR="00C83BF4" w:rsidRPr="008F309E">
        <w:rPr>
          <w:lang w:val="fr-FR"/>
        </w:rPr>
        <w:t xml:space="preserve">que le requérant a été </w:t>
      </w:r>
      <w:r w:rsidR="00B71998" w:rsidRPr="008F309E">
        <w:rPr>
          <w:lang w:val="fr-FR"/>
        </w:rPr>
        <w:t>emprisonné</w:t>
      </w:r>
      <w:r w:rsidR="00C83BF4" w:rsidRPr="008F309E">
        <w:rPr>
          <w:lang w:val="fr-FR"/>
        </w:rPr>
        <w:t xml:space="preserve"> e</w:t>
      </w:r>
      <w:r w:rsidR="00263177" w:rsidRPr="008F309E">
        <w:rPr>
          <w:lang w:val="fr-FR"/>
        </w:rPr>
        <w:t>n</w:t>
      </w:r>
      <w:r w:rsidR="00C83BF4" w:rsidRPr="008F309E">
        <w:rPr>
          <w:lang w:val="fr-FR"/>
        </w:rPr>
        <w:t xml:space="preserve"> exécution de sa condamnation </w:t>
      </w:r>
      <w:r w:rsidR="00B71998" w:rsidRPr="008F309E">
        <w:rPr>
          <w:lang w:val="fr-FR"/>
        </w:rPr>
        <w:t xml:space="preserve">à perpétuité </w:t>
      </w:r>
      <w:r w:rsidR="00C83BF4" w:rsidRPr="008F309E">
        <w:rPr>
          <w:lang w:val="fr-FR"/>
        </w:rPr>
        <w:t xml:space="preserve">par contumace </w:t>
      </w:r>
      <w:r w:rsidR="00B71998" w:rsidRPr="008F309E">
        <w:rPr>
          <w:lang w:val="fr-FR"/>
        </w:rPr>
        <w:t>à partir du 11</w:t>
      </w:r>
      <w:r w:rsidR="007A6C76">
        <w:rPr>
          <w:lang w:val="fr-FR"/>
        </w:rPr>
        <w:t xml:space="preserve"> </w:t>
      </w:r>
      <w:r w:rsidR="00B71998" w:rsidRPr="008F309E">
        <w:rPr>
          <w:lang w:val="fr-FR"/>
        </w:rPr>
        <w:t xml:space="preserve">avril 2001 (paragraphe </w:t>
      </w:r>
      <w:r w:rsidR="007501D0">
        <w:rPr>
          <w:noProof/>
          <w:lang w:val="fr-FR"/>
        </w:rPr>
        <w:t>24</w:t>
      </w:r>
      <w:r w:rsidR="00B71998" w:rsidRPr="008F309E">
        <w:rPr>
          <w:lang w:val="fr-FR"/>
        </w:rPr>
        <w:t xml:space="preserve"> ci-dessus). Il était encore en détention </w:t>
      </w:r>
      <w:r w:rsidR="00C12C52">
        <w:rPr>
          <w:lang w:val="fr-FR"/>
        </w:rPr>
        <w:t>au</w:t>
      </w:r>
      <w:r w:rsidR="00B71998" w:rsidRPr="008F309E">
        <w:rPr>
          <w:lang w:val="fr-FR"/>
        </w:rPr>
        <w:t xml:space="preserve"> même titre au moment de l</w:t>
      </w:r>
      <w:r w:rsidR="00162789">
        <w:rPr>
          <w:lang w:val="fr-FR"/>
        </w:rPr>
        <w:t>’</w:t>
      </w:r>
      <w:r w:rsidR="00B71998" w:rsidRPr="008F309E">
        <w:rPr>
          <w:lang w:val="fr-FR"/>
        </w:rPr>
        <w:t>introduction de sa requête (25 mai 2009). Dès lors, le grief tiré de l</w:t>
      </w:r>
      <w:r w:rsidR="00162789">
        <w:rPr>
          <w:lang w:val="fr-FR"/>
        </w:rPr>
        <w:t>’</w:t>
      </w:r>
      <w:r w:rsidR="00B71998" w:rsidRPr="008F309E">
        <w:rPr>
          <w:lang w:val="fr-FR"/>
        </w:rPr>
        <w:t>article 5 § 1 de la Convention ne saurait être considéré tardif.</w:t>
      </w:r>
    </w:p>
    <w:p w:rsidR="004913D7" w:rsidRPr="008F309E" w:rsidRDefault="004913D7" w:rsidP="004913D7">
      <w:pPr>
        <w:pStyle w:val="ECHRPara"/>
        <w:rPr>
          <w:lang w:val="fr-FR"/>
        </w:rPr>
      </w:pPr>
      <w:r w:rsidRPr="008F309E">
        <w:rPr>
          <w:lang w:val="fr-FR"/>
        </w:rPr>
        <w:lastRenderedPageBreak/>
        <w:fldChar w:fldCharType="begin"/>
      </w:r>
      <w:r w:rsidRPr="008F309E">
        <w:rPr>
          <w:lang w:val="fr-FR"/>
        </w:rPr>
        <w:instrText xml:space="preserve"> SEQ level0 \*arabic </w:instrText>
      </w:r>
      <w:r w:rsidRPr="008F309E">
        <w:rPr>
          <w:lang w:val="fr-FR"/>
        </w:rPr>
        <w:fldChar w:fldCharType="separate"/>
      </w:r>
      <w:r w:rsidR="0051458B">
        <w:rPr>
          <w:noProof/>
          <w:lang w:val="fr-FR"/>
        </w:rPr>
        <w:t>109</w:t>
      </w:r>
      <w:r w:rsidRPr="008F309E">
        <w:rPr>
          <w:lang w:val="fr-FR"/>
        </w:rPr>
        <w:fldChar w:fldCharType="end"/>
      </w:r>
      <w:r w:rsidRPr="008F309E">
        <w:rPr>
          <w:lang w:val="fr-FR"/>
        </w:rPr>
        <w:t>.  La Cour constate que ce grief n</w:t>
      </w:r>
      <w:r w:rsidR="00162789">
        <w:rPr>
          <w:lang w:val="fr-FR"/>
        </w:rPr>
        <w:t>’</w:t>
      </w:r>
      <w:r w:rsidRPr="008F309E">
        <w:rPr>
          <w:lang w:val="fr-FR"/>
        </w:rPr>
        <w:t>est pas manifestement mal fondé au sens de l</w:t>
      </w:r>
      <w:r w:rsidR="00162789">
        <w:rPr>
          <w:lang w:val="fr-FR"/>
        </w:rPr>
        <w:t>’</w:t>
      </w:r>
      <w:r w:rsidRPr="008F309E">
        <w:rPr>
          <w:lang w:val="fr-FR"/>
        </w:rPr>
        <w:t>article 35 § 3 a) de la Convention et qu</w:t>
      </w:r>
      <w:r w:rsidR="00162789">
        <w:rPr>
          <w:lang w:val="fr-FR"/>
        </w:rPr>
        <w:t>’</w:t>
      </w:r>
      <w:r w:rsidRPr="008F309E">
        <w:rPr>
          <w:lang w:val="fr-FR"/>
        </w:rPr>
        <w:t>il ne se heurte par ailleurs à aucun autre motif d</w:t>
      </w:r>
      <w:r w:rsidR="00162789">
        <w:rPr>
          <w:lang w:val="fr-FR"/>
        </w:rPr>
        <w:t>’</w:t>
      </w:r>
      <w:r w:rsidRPr="008F309E">
        <w:rPr>
          <w:lang w:val="fr-FR"/>
        </w:rPr>
        <w:t>irrecevabilité</w:t>
      </w:r>
      <w:r w:rsidR="00B71998" w:rsidRPr="008F309E">
        <w:rPr>
          <w:lang w:val="fr-FR"/>
        </w:rPr>
        <w:t>.</w:t>
      </w:r>
      <w:r w:rsidRPr="008F309E">
        <w:rPr>
          <w:lang w:val="fr-FR"/>
        </w:rPr>
        <w:t xml:space="preserve"> </w:t>
      </w:r>
      <w:r w:rsidR="00B71998" w:rsidRPr="008F309E">
        <w:rPr>
          <w:lang w:val="fr-FR"/>
        </w:rPr>
        <w:t>L</w:t>
      </w:r>
      <w:r w:rsidRPr="008F309E">
        <w:rPr>
          <w:lang w:val="fr-FR"/>
        </w:rPr>
        <w:t>a Cour le déclare</w:t>
      </w:r>
      <w:r w:rsidR="00B71998" w:rsidRPr="008F309E">
        <w:rPr>
          <w:lang w:val="fr-FR"/>
        </w:rPr>
        <w:t xml:space="preserve"> donc</w:t>
      </w:r>
      <w:r w:rsidRPr="008F309E">
        <w:rPr>
          <w:lang w:val="fr-FR"/>
        </w:rPr>
        <w:t xml:space="preserve"> recevable.</w:t>
      </w:r>
    </w:p>
    <w:p w:rsidR="004913D7" w:rsidRPr="008F309E" w:rsidRDefault="004913D7" w:rsidP="004913D7">
      <w:pPr>
        <w:pStyle w:val="ECHRHeading2"/>
        <w:outlineLvl w:val="0"/>
        <w:rPr>
          <w:lang w:val="fr-FR"/>
        </w:rPr>
      </w:pPr>
      <w:r w:rsidRPr="008F309E">
        <w:rPr>
          <w:lang w:val="fr-FR"/>
        </w:rPr>
        <w:t>B.  Sur le fond</w:t>
      </w:r>
    </w:p>
    <w:p w:rsidR="00B667DE" w:rsidRPr="008F309E" w:rsidRDefault="00C16925" w:rsidP="00B667DE">
      <w:pPr>
        <w:pStyle w:val="ECHRHeading3"/>
        <w:rPr>
          <w:lang w:val="fr-FR"/>
        </w:rPr>
      </w:pPr>
      <w:r>
        <w:rPr>
          <w:lang w:val="fr-FR"/>
        </w:rPr>
        <w:t>1</w:t>
      </w:r>
      <w:r w:rsidR="00B667DE" w:rsidRPr="008F309E">
        <w:rPr>
          <w:lang w:val="fr-FR"/>
        </w:rPr>
        <w:t>.  Arguments des parties</w:t>
      </w:r>
    </w:p>
    <w:p w:rsidR="00B667DE" w:rsidRPr="008F309E" w:rsidRDefault="00B667DE" w:rsidP="00B667DE">
      <w:pPr>
        <w:pStyle w:val="ECHRHeading4"/>
        <w:rPr>
          <w:lang w:val="fr-FR"/>
        </w:rPr>
      </w:pPr>
      <w:r w:rsidRPr="008F309E">
        <w:rPr>
          <w:lang w:val="fr-FR"/>
        </w:rPr>
        <w:t>a)  Le Gouvernement</w:t>
      </w:r>
    </w:p>
    <w:bookmarkStart w:id="41" w:name="Gvtdeniflagrantlegal"/>
    <w:p w:rsidR="00B667DE" w:rsidRPr="008F309E" w:rsidRDefault="00B667DE" w:rsidP="00B667DE">
      <w:pPr>
        <w:pStyle w:val="ECHRPara"/>
        <w:rPr>
          <w:rFonts w:eastAsiaTheme="minorHAnsi"/>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110</w:t>
      </w:r>
      <w:r w:rsidRPr="008F309E">
        <w:rPr>
          <w:lang w:val="fr-FR"/>
        </w:rPr>
        <w:fldChar w:fldCharType="end"/>
      </w:r>
      <w:bookmarkEnd w:id="41"/>
      <w:r w:rsidRPr="008F309E">
        <w:rPr>
          <w:lang w:val="fr-FR"/>
        </w:rPr>
        <w:t>.  Le Gouvernement estime que la présente affaire se différencie de l</w:t>
      </w:r>
      <w:r w:rsidR="00162789">
        <w:rPr>
          <w:lang w:val="fr-FR"/>
        </w:rPr>
        <w:t>’</w:t>
      </w:r>
      <w:r w:rsidRPr="008F309E">
        <w:rPr>
          <w:lang w:val="fr-FR"/>
        </w:rPr>
        <w:t xml:space="preserve">affaire </w:t>
      </w:r>
      <w:r w:rsidRPr="008F309E">
        <w:rPr>
          <w:rFonts w:ascii="Times New Roman" w:eastAsiaTheme="minorHAnsi" w:hAnsi="Times New Roman" w:cs="Times New Roman"/>
          <w:i/>
          <w:iCs/>
          <w:lang w:val="fr-FR"/>
        </w:rPr>
        <w:t>Stoichkov c. Bulgarie</w:t>
      </w:r>
      <w:r w:rsidRPr="008F309E">
        <w:rPr>
          <w:rFonts w:ascii="Times New Roman" w:eastAsiaTheme="minorHAnsi" w:hAnsi="Times New Roman" w:cs="Times New Roman"/>
          <w:lang w:val="fr-FR"/>
        </w:rPr>
        <w:t xml:space="preserve"> (n</w:t>
      </w:r>
      <w:r w:rsidR="005559D3" w:rsidRPr="005559D3">
        <w:rPr>
          <w:rFonts w:ascii="Times New Roman" w:eastAsiaTheme="minorHAnsi" w:hAnsi="Times New Roman" w:cs="Times New Roman"/>
          <w:vertAlign w:val="superscript"/>
          <w:lang w:val="fr-FR"/>
        </w:rPr>
        <w:t>o</w:t>
      </w:r>
      <w:r w:rsidRPr="008F309E">
        <w:rPr>
          <w:rFonts w:ascii="Times New Roman" w:eastAsiaTheme="minorHAnsi" w:hAnsi="Times New Roman" w:cs="Times New Roman"/>
          <w:sz w:val="16"/>
          <w:szCs w:val="16"/>
          <w:lang w:val="fr-FR"/>
        </w:rPr>
        <w:t xml:space="preserve"> </w:t>
      </w:r>
      <w:r w:rsidRPr="008F309E">
        <w:rPr>
          <w:rFonts w:ascii="Times New Roman" w:eastAsiaTheme="minorHAnsi" w:hAnsi="Times New Roman" w:cs="Times New Roman"/>
          <w:lang w:val="fr-FR"/>
        </w:rPr>
        <w:t>9808/02, 24</w:t>
      </w:r>
      <w:r w:rsidRPr="008F309E">
        <w:rPr>
          <w:rFonts w:eastAsiaTheme="minorHAnsi"/>
          <w:lang w:val="fr-FR"/>
        </w:rPr>
        <w:t xml:space="preserve"> mars 2005). Il observe qu</w:t>
      </w:r>
      <w:r w:rsidR="00162789">
        <w:rPr>
          <w:rFonts w:eastAsiaTheme="minorHAnsi"/>
          <w:lang w:val="fr-FR"/>
        </w:rPr>
        <w:t>’</w:t>
      </w:r>
      <w:r w:rsidRPr="008F309E">
        <w:rPr>
          <w:rFonts w:eastAsiaTheme="minorHAnsi"/>
          <w:lang w:val="fr-FR"/>
        </w:rPr>
        <w:t>après son extradition, le requérant a été détenu régulièrement après condamnation par un tribunal compétent. Les allégations de son avocat, concernant l</w:t>
      </w:r>
      <w:r w:rsidR="00162789">
        <w:rPr>
          <w:rFonts w:eastAsiaTheme="minorHAnsi"/>
          <w:lang w:val="fr-FR"/>
        </w:rPr>
        <w:t>’</w:t>
      </w:r>
      <w:r w:rsidRPr="008F309E">
        <w:rPr>
          <w:rFonts w:eastAsiaTheme="minorHAnsi"/>
          <w:lang w:val="fr-FR"/>
        </w:rPr>
        <w:t xml:space="preserve">irrégularité de la procédure par contumace, </w:t>
      </w:r>
      <w:r w:rsidR="00263177" w:rsidRPr="008F309E">
        <w:rPr>
          <w:rFonts w:eastAsiaTheme="minorHAnsi"/>
          <w:lang w:val="fr-FR"/>
        </w:rPr>
        <w:t>o</w:t>
      </w:r>
      <w:r w:rsidRPr="008F309E">
        <w:rPr>
          <w:rFonts w:eastAsiaTheme="minorHAnsi"/>
          <w:lang w:val="fr-FR"/>
        </w:rPr>
        <w:t>nt été écartées sur la base de la jurisprudence suivie à l</w:t>
      </w:r>
      <w:r w:rsidR="00162789">
        <w:rPr>
          <w:rFonts w:eastAsiaTheme="minorHAnsi"/>
          <w:lang w:val="fr-FR"/>
        </w:rPr>
        <w:t>’</w:t>
      </w:r>
      <w:r w:rsidRPr="008F309E">
        <w:rPr>
          <w:rFonts w:eastAsiaTheme="minorHAnsi"/>
          <w:lang w:val="fr-FR"/>
        </w:rPr>
        <w:t>époque. Dans le cadre de la procédure pénale sur le bien-fondé des accusations, l</w:t>
      </w:r>
      <w:r w:rsidR="00162789">
        <w:rPr>
          <w:rFonts w:eastAsiaTheme="minorHAnsi"/>
          <w:lang w:val="fr-FR"/>
        </w:rPr>
        <w:t>’</w:t>
      </w:r>
      <w:r w:rsidRPr="008F309E">
        <w:rPr>
          <w:rFonts w:eastAsiaTheme="minorHAnsi"/>
          <w:lang w:val="fr-FR"/>
        </w:rPr>
        <w:t>avocat du requérant n</w:t>
      </w:r>
      <w:r w:rsidR="00162789">
        <w:rPr>
          <w:rFonts w:eastAsiaTheme="minorHAnsi"/>
          <w:lang w:val="fr-FR"/>
        </w:rPr>
        <w:t>’</w:t>
      </w:r>
      <w:r w:rsidRPr="008F309E">
        <w:rPr>
          <w:rFonts w:eastAsiaTheme="minorHAnsi"/>
          <w:lang w:val="fr-FR"/>
        </w:rPr>
        <w:t>a pas soulevé la question de l</w:t>
      </w:r>
      <w:r w:rsidR="00162789">
        <w:rPr>
          <w:rFonts w:eastAsiaTheme="minorHAnsi"/>
          <w:lang w:val="fr-FR"/>
        </w:rPr>
        <w:t>’</w:t>
      </w:r>
      <w:r w:rsidRPr="008F309E">
        <w:rPr>
          <w:rFonts w:eastAsiaTheme="minorHAnsi"/>
          <w:lang w:val="fr-FR"/>
        </w:rPr>
        <w:t>irrégularité de la notification de l</w:t>
      </w:r>
      <w:r w:rsidR="00162789">
        <w:rPr>
          <w:rFonts w:eastAsiaTheme="minorHAnsi"/>
          <w:lang w:val="fr-FR"/>
        </w:rPr>
        <w:t>’</w:t>
      </w:r>
      <w:r w:rsidRPr="008F309E">
        <w:rPr>
          <w:rFonts w:eastAsiaTheme="minorHAnsi"/>
          <w:lang w:val="fr-FR"/>
        </w:rPr>
        <w:t>arrêt de condamnation par contumace</w:t>
      </w:r>
      <w:r w:rsidR="00263177" w:rsidRPr="008F309E">
        <w:rPr>
          <w:rFonts w:eastAsiaTheme="minorHAnsi"/>
          <w:lang w:val="fr-FR"/>
        </w:rPr>
        <w:t>.</w:t>
      </w:r>
      <w:r w:rsidRPr="008F309E">
        <w:rPr>
          <w:rFonts w:eastAsiaTheme="minorHAnsi"/>
          <w:lang w:val="fr-FR"/>
        </w:rPr>
        <w:t xml:space="preserve"> </w:t>
      </w:r>
      <w:r w:rsidR="00263177" w:rsidRPr="008F309E">
        <w:rPr>
          <w:rFonts w:eastAsiaTheme="minorHAnsi"/>
          <w:lang w:val="fr-FR"/>
        </w:rPr>
        <w:t>Cet</w:t>
      </w:r>
      <w:r w:rsidRPr="008F309E">
        <w:rPr>
          <w:rFonts w:eastAsiaTheme="minorHAnsi"/>
          <w:lang w:val="fr-FR"/>
        </w:rPr>
        <w:t xml:space="preserve"> élément a</w:t>
      </w:r>
      <w:r w:rsidR="00263177" w:rsidRPr="008F309E">
        <w:rPr>
          <w:rFonts w:eastAsiaTheme="minorHAnsi"/>
          <w:lang w:val="fr-FR"/>
        </w:rPr>
        <w:t xml:space="preserve"> été</w:t>
      </w:r>
      <w:r w:rsidRPr="008F309E">
        <w:rPr>
          <w:rFonts w:eastAsiaTheme="minorHAnsi"/>
          <w:lang w:val="fr-FR"/>
        </w:rPr>
        <w:t xml:space="preserve"> mentionné seulement lors de </w:t>
      </w:r>
      <w:r w:rsidR="00263177" w:rsidRPr="008F309E">
        <w:rPr>
          <w:rFonts w:eastAsiaTheme="minorHAnsi"/>
          <w:lang w:val="fr-FR"/>
        </w:rPr>
        <w:t>l</w:t>
      </w:r>
      <w:r w:rsidR="00162789">
        <w:rPr>
          <w:rFonts w:eastAsiaTheme="minorHAnsi"/>
          <w:lang w:val="fr-FR"/>
        </w:rPr>
        <w:t>’</w:t>
      </w:r>
      <w:r w:rsidRPr="008F309E">
        <w:rPr>
          <w:rFonts w:eastAsiaTheme="minorHAnsi"/>
          <w:lang w:val="fr-FR"/>
        </w:rPr>
        <w:t>incident d</w:t>
      </w:r>
      <w:r w:rsidR="00162789">
        <w:rPr>
          <w:rFonts w:eastAsiaTheme="minorHAnsi"/>
          <w:lang w:val="fr-FR"/>
        </w:rPr>
        <w:t>’</w:t>
      </w:r>
      <w:r w:rsidRPr="008F309E">
        <w:rPr>
          <w:rFonts w:eastAsiaTheme="minorHAnsi"/>
          <w:lang w:val="fr-FR"/>
        </w:rPr>
        <w:t xml:space="preserve">exécution, qui était cependant </w:t>
      </w:r>
      <w:r w:rsidR="00B353FB" w:rsidRPr="008F309E">
        <w:rPr>
          <w:rFonts w:eastAsiaTheme="minorHAnsi"/>
          <w:lang w:val="fr-FR"/>
        </w:rPr>
        <w:t>u</w:t>
      </w:r>
      <w:r w:rsidRPr="008F309E">
        <w:rPr>
          <w:rFonts w:eastAsiaTheme="minorHAnsi"/>
          <w:lang w:val="fr-FR"/>
        </w:rPr>
        <w:t xml:space="preserve">n </w:t>
      </w:r>
      <w:r w:rsidR="00184416">
        <w:rPr>
          <w:rFonts w:eastAsiaTheme="minorHAnsi"/>
          <w:lang w:val="fr-FR"/>
        </w:rPr>
        <w:t>recours</w:t>
      </w:r>
      <w:r w:rsidRPr="008F309E">
        <w:rPr>
          <w:rFonts w:eastAsiaTheme="minorHAnsi"/>
          <w:lang w:val="fr-FR"/>
        </w:rPr>
        <w:t xml:space="preserve"> inapproprié. Des erreurs </w:t>
      </w:r>
      <w:r w:rsidRPr="008F309E">
        <w:rPr>
          <w:rFonts w:eastAsiaTheme="minorHAnsi"/>
          <w:i/>
          <w:lang w:val="fr-FR"/>
        </w:rPr>
        <w:t xml:space="preserve">in procedendo </w:t>
      </w:r>
      <w:r w:rsidRPr="008F309E">
        <w:rPr>
          <w:rFonts w:eastAsiaTheme="minorHAnsi"/>
          <w:lang w:val="fr-FR"/>
        </w:rPr>
        <w:t xml:space="preserve">ont </w:t>
      </w:r>
      <w:r w:rsidR="00184416" w:rsidRPr="008F309E">
        <w:rPr>
          <w:rFonts w:eastAsiaTheme="minorHAnsi"/>
          <w:lang w:val="fr-FR"/>
        </w:rPr>
        <w:t xml:space="preserve">seulement </w:t>
      </w:r>
      <w:r w:rsidRPr="008F309E">
        <w:rPr>
          <w:rFonts w:eastAsiaTheme="minorHAnsi"/>
          <w:lang w:val="fr-FR"/>
        </w:rPr>
        <w:t xml:space="preserve">été reconnues </w:t>
      </w:r>
      <w:r w:rsidR="00184416">
        <w:rPr>
          <w:rFonts w:eastAsiaTheme="minorHAnsi"/>
          <w:lang w:val="fr-FR"/>
        </w:rPr>
        <w:t>ultérieurement</w:t>
      </w:r>
      <w:r w:rsidRPr="008F309E">
        <w:rPr>
          <w:rFonts w:eastAsiaTheme="minorHAnsi"/>
          <w:lang w:val="fr-FR"/>
        </w:rPr>
        <w:t>, lorsque la jurisprudence italienne a évolué, en s</w:t>
      </w:r>
      <w:r w:rsidR="00162789">
        <w:rPr>
          <w:rFonts w:eastAsiaTheme="minorHAnsi"/>
          <w:lang w:val="fr-FR"/>
        </w:rPr>
        <w:t>’</w:t>
      </w:r>
      <w:r w:rsidRPr="008F309E">
        <w:rPr>
          <w:rFonts w:eastAsiaTheme="minorHAnsi"/>
          <w:lang w:val="fr-FR"/>
        </w:rPr>
        <w:t xml:space="preserve">alignant </w:t>
      </w:r>
      <w:r w:rsidR="00184416">
        <w:rPr>
          <w:rFonts w:eastAsiaTheme="minorHAnsi"/>
          <w:lang w:val="fr-FR"/>
        </w:rPr>
        <w:t>sur</w:t>
      </w:r>
      <w:r w:rsidRPr="008F309E">
        <w:rPr>
          <w:rFonts w:eastAsiaTheme="minorHAnsi"/>
          <w:lang w:val="fr-FR"/>
        </w:rPr>
        <w:t xml:space="preserve"> celle de la Cour. Le Gouvernement en déduit que la condamnation du requérant n</w:t>
      </w:r>
      <w:r w:rsidR="00162789">
        <w:rPr>
          <w:rFonts w:eastAsiaTheme="minorHAnsi"/>
          <w:lang w:val="fr-FR"/>
        </w:rPr>
        <w:t>’</w:t>
      </w:r>
      <w:r w:rsidRPr="008F309E">
        <w:rPr>
          <w:rFonts w:eastAsiaTheme="minorHAnsi"/>
          <w:lang w:val="fr-FR"/>
        </w:rPr>
        <w:t>a pas été prononcé</w:t>
      </w:r>
      <w:r w:rsidR="00263177" w:rsidRPr="008F309E">
        <w:rPr>
          <w:rFonts w:eastAsiaTheme="minorHAnsi"/>
          <w:lang w:val="fr-FR"/>
        </w:rPr>
        <w:t>e</w:t>
      </w:r>
      <w:r w:rsidRPr="008F309E">
        <w:rPr>
          <w:rFonts w:eastAsiaTheme="minorHAnsi"/>
          <w:lang w:val="fr-FR"/>
        </w:rPr>
        <w:t xml:space="preserve"> à l</w:t>
      </w:r>
      <w:r w:rsidR="00162789">
        <w:rPr>
          <w:rFonts w:eastAsiaTheme="minorHAnsi"/>
          <w:lang w:val="fr-FR"/>
        </w:rPr>
        <w:t>’</w:t>
      </w:r>
      <w:r w:rsidRPr="008F309E">
        <w:rPr>
          <w:rFonts w:eastAsiaTheme="minorHAnsi"/>
          <w:lang w:val="fr-FR"/>
        </w:rPr>
        <w:t>issue d</w:t>
      </w:r>
      <w:r w:rsidR="00162789">
        <w:rPr>
          <w:rFonts w:eastAsiaTheme="minorHAnsi"/>
          <w:lang w:val="fr-FR"/>
        </w:rPr>
        <w:t>’</w:t>
      </w:r>
      <w:r w:rsidRPr="008F309E">
        <w:rPr>
          <w:rFonts w:eastAsiaTheme="minorHAnsi"/>
          <w:lang w:val="fr-FR"/>
        </w:rPr>
        <w:t xml:space="preserve">un procès </w:t>
      </w:r>
      <w:r w:rsidRPr="008F309E">
        <w:rPr>
          <w:lang w:val="fr-FR"/>
        </w:rPr>
        <w:t>manifestement contraire aux dispositions de l</w:t>
      </w:r>
      <w:r w:rsidR="00162789">
        <w:rPr>
          <w:lang w:val="fr-FR"/>
        </w:rPr>
        <w:t>’</w:t>
      </w:r>
      <w:r w:rsidRPr="008F309E">
        <w:rPr>
          <w:lang w:val="fr-FR"/>
        </w:rPr>
        <w:t>article 6</w:t>
      </w:r>
      <w:r w:rsidRPr="008F309E">
        <w:rPr>
          <w:rFonts w:eastAsiaTheme="minorHAnsi"/>
          <w:lang w:val="fr-FR"/>
        </w:rPr>
        <w:t>, et que</w:t>
      </w:r>
      <w:r w:rsidR="00263177" w:rsidRPr="008F309E">
        <w:rPr>
          <w:rFonts w:eastAsiaTheme="minorHAnsi"/>
          <w:lang w:val="fr-FR"/>
        </w:rPr>
        <w:t>,</w:t>
      </w:r>
      <w:r w:rsidRPr="008F309E">
        <w:rPr>
          <w:rFonts w:eastAsiaTheme="minorHAnsi"/>
          <w:lang w:val="fr-FR"/>
        </w:rPr>
        <w:t xml:space="preserve"> jusqu</w:t>
      </w:r>
      <w:r w:rsidR="00162789">
        <w:rPr>
          <w:rFonts w:eastAsiaTheme="minorHAnsi"/>
          <w:lang w:val="fr-FR"/>
        </w:rPr>
        <w:t>’</w:t>
      </w:r>
      <w:r w:rsidRPr="008F309E">
        <w:rPr>
          <w:rFonts w:eastAsiaTheme="minorHAnsi"/>
          <w:lang w:val="fr-FR"/>
        </w:rPr>
        <w:t>à 2009, elle était légale et justifiée.</w:t>
      </w:r>
    </w:p>
    <w:p w:rsidR="00B667DE" w:rsidRPr="008F309E" w:rsidRDefault="00B667DE" w:rsidP="00B667DE">
      <w:pPr>
        <w:pStyle w:val="ECHRPara"/>
        <w:rPr>
          <w:lang w:val="fr-FR"/>
        </w:rPr>
      </w:pPr>
      <w:r w:rsidRPr="008F309E">
        <w:rPr>
          <w:rFonts w:eastAsiaTheme="minorHAnsi"/>
          <w:lang w:val="fr-FR"/>
        </w:rPr>
        <w:fldChar w:fldCharType="begin"/>
      </w:r>
      <w:r w:rsidRPr="008F309E">
        <w:rPr>
          <w:rFonts w:eastAsiaTheme="minorHAnsi"/>
          <w:lang w:val="fr-FR"/>
        </w:rPr>
        <w:instrText xml:space="preserve"> SEQ level0 \*arabic </w:instrText>
      </w:r>
      <w:r w:rsidRPr="008F309E">
        <w:rPr>
          <w:rFonts w:eastAsiaTheme="minorHAnsi"/>
          <w:lang w:val="fr-FR"/>
        </w:rPr>
        <w:fldChar w:fldCharType="separate"/>
      </w:r>
      <w:r w:rsidR="0051458B">
        <w:rPr>
          <w:rFonts w:eastAsiaTheme="minorHAnsi"/>
          <w:noProof/>
          <w:lang w:val="fr-FR"/>
        </w:rPr>
        <w:t>111</w:t>
      </w:r>
      <w:r w:rsidRPr="008F309E">
        <w:rPr>
          <w:rFonts w:eastAsiaTheme="minorHAnsi"/>
          <w:lang w:val="fr-FR"/>
        </w:rPr>
        <w:fldChar w:fldCharType="end"/>
      </w:r>
      <w:r w:rsidRPr="008F309E">
        <w:rPr>
          <w:rFonts w:eastAsiaTheme="minorHAnsi"/>
          <w:lang w:val="fr-FR"/>
        </w:rPr>
        <w:t>.  Par ailleurs, en dépit des changements introduits par la loi n</w:t>
      </w:r>
      <w:r w:rsidR="005559D3" w:rsidRPr="005559D3">
        <w:rPr>
          <w:rFonts w:eastAsiaTheme="minorHAnsi"/>
          <w:vertAlign w:val="superscript"/>
          <w:lang w:val="fr-FR"/>
        </w:rPr>
        <w:t>o</w:t>
      </w:r>
      <w:r w:rsidRPr="008F309E">
        <w:rPr>
          <w:rFonts w:eastAsiaTheme="minorHAnsi"/>
          <w:lang w:val="fr-FR"/>
        </w:rPr>
        <w:t xml:space="preserve"> 60 de 2005, avant 2009 le requérant n</w:t>
      </w:r>
      <w:r w:rsidR="00162789">
        <w:rPr>
          <w:rFonts w:eastAsiaTheme="minorHAnsi"/>
          <w:lang w:val="fr-FR"/>
        </w:rPr>
        <w:t>’</w:t>
      </w:r>
      <w:r w:rsidRPr="008F309E">
        <w:rPr>
          <w:rFonts w:eastAsiaTheme="minorHAnsi"/>
          <w:lang w:val="fr-FR"/>
        </w:rPr>
        <w:t>a jamais demandé le relevé de la forclusion</w:t>
      </w:r>
      <w:r w:rsidR="00263177" w:rsidRPr="008F309E">
        <w:rPr>
          <w:rFonts w:eastAsiaTheme="minorHAnsi"/>
          <w:lang w:val="fr-FR"/>
        </w:rPr>
        <w:t xml:space="preserve"> (paragraphes </w:t>
      </w:r>
      <w:r w:rsidR="007501D0">
        <w:rPr>
          <w:noProof/>
          <w:lang w:val="fr-FR"/>
        </w:rPr>
        <w:t>53</w:t>
      </w:r>
      <w:r w:rsidR="00263177" w:rsidRPr="008F309E">
        <w:rPr>
          <w:rFonts w:eastAsiaTheme="minorHAnsi"/>
          <w:lang w:val="fr-FR"/>
        </w:rPr>
        <w:t>-</w:t>
      </w:r>
      <w:r w:rsidR="007501D0">
        <w:rPr>
          <w:noProof/>
          <w:lang w:val="fr-FR"/>
        </w:rPr>
        <w:t>54</w:t>
      </w:r>
      <w:r w:rsidR="00263177" w:rsidRPr="008F309E">
        <w:rPr>
          <w:rFonts w:eastAsiaTheme="minorHAnsi"/>
          <w:lang w:val="fr-FR"/>
        </w:rPr>
        <w:t xml:space="preserve"> ci-dessus)</w:t>
      </w:r>
      <w:r w:rsidRPr="008F309E">
        <w:rPr>
          <w:rFonts w:eastAsiaTheme="minorHAnsi"/>
          <w:lang w:val="fr-FR"/>
        </w:rPr>
        <w:t xml:space="preserve">. </w:t>
      </w:r>
      <w:r w:rsidRPr="008F309E">
        <w:rPr>
          <w:rFonts w:ascii="Times New Roman" w:eastAsiaTheme="minorHAnsi" w:hAnsi="Times New Roman" w:cs="Times New Roman"/>
          <w:iCs/>
          <w:lang w:val="fr-FR"/>
        </w:rPr>
        <w:t xml:space="preserve">Par la suite, </w:t>
      </w:r>
      <w:r w:rsidR="00263177" w:rsidRPr="008F309E">
        <w:rPr>
          <w:rFonts w:ascii="Times New Roman" w:eastAsiaTheme="minorHAnsi" w:hAnsi="Times New Roman" w:cs="Times New Roman"/>
          <w:iCs/>
          <w:lang w:val="fr-FR"/>
        </w:rPr>
        <w:t>une</w:t>
      </w:r>
      <w:r w:rsidRPr="008F309E">
        <w:rPr>
          <w:rFonts w:ascii="Times New Roman" w:eastAsiaTheme="minorHAnsi" w:hAnsi="Times New Roman" w:cs="Times New Roman"/>
          <w:iCs/>
          <w:lang w:val="fr-FR"/>
        </w:rPr>
        <w:t xml:space="preserve"> demande </w:t>
      </w:r>
      <w:r w:rsidR="00263177" w:rsidRPr="008F309E">
        <w:rPr>
          <w:rFonts w:ascii="Times New Roman" w:eastAsiaTheme="minorHAnsi" w:hAnsi="Times New Roman" w:cs="Times New Roman"/>
          <w:iCs/>
          <w:lang w:val="fr-FR"/>
        </w:rPr>
        <w:t>dans ce sens</w:t>
      </w:r>
      <w:r w:rsidRPr="008F309E">
        <w:rPr>
          <w:rFonts w:ascii="Times New Roman" w:eastAsiaTheme="minorHAnsi" w:hAnsi="Times New Roman" w:cs="Times New Roman"/>
          <w:iCs/>
          <w:lang w:val="fr-FR"/>
        </w:rPr>
        <w:t xml:space="preserve"> a été accueillie</w:t>
      </w:r>
      <w:r w:rsidRPr="008F309E">
        <w:rPr>
          <w:rFonts w:eastAsiaTheme="minorHAnsi"/>
          <w:lang w:val="fr-FR"/>
        </w:rPr>
        <w:t>. Dès lors</w:t>
      </w:r>
      <w:r w:rsidRPr="008F309E">
        <w:rPr>
          <w:rFonts w:ascii="Times New Roman" w:eastAsiaTheme="minorHAnsi" w:hAnsi="Times New Roman" w:cs="Times New Roman"/>
          <w:iCs/>
          <w:lang w:val="fr-FR"/>
        </w:rPr>
        <w:t>, en l</w:t>
      </w:r>
      <w:r w:rsidR="00162789">
        <w:rPr>
          <w:rFonts w:ascii="Times New Roman" w:eastAsiaTheme="minorHAnsi" w:hAnsi="Times New Roman" w:cs="Times New Roman"/>
          <w:iCs/>
          <w:lang w:val="fr-FR"/>
        </w:rPr>
        <w:t>’</w:t>
      </w:r>
      <w:r w:rsidRPr="008F309E">
        <w:rPr>
          <w:rFonts w:ascii="Times New Roman" w:eastAsiaTheme="minorHAnsi" w:hAnsi="Times New Roman" w:cs="Times New Roman"/>
          <w:iCs/>
          <w:lang w:val="fr-FR"/>
        </w:rPr>
        <w:t>espèce il n</w:t>
      </w:r>
      <w:r w:rsidR="00162789">
        <w:rPr>
          <w:rFonts w:ascii="Times New Roman" w:eastAsiaTheme="minorHAnsi" w:hAnsi="Times New Roman" w:cs="Times New Roman"/>
          <w:iCs/>
          <w:lang w:val="fr-FR"/>
        </w:rPr>
        <w:t>’</w:t>
      </w:r>
      <w:r w:rsidRPr="008F309E">
        <w:rPr>
          <w:rFonts w:ascii="Times New Roman" w:eastAsiaTheme="minorHAnsi" w:hAnsi="Times New Roman" w:cs="Times New Roman"/>
          <w:iCs/>
          <w:lang w:val="fr-FR"/>
        </w:rPr>
        <w:t>y aurait pas eu « refus de rouvrir la procédure pénale », ce qui permettrait de distinguer la présente affaire de l</w:t>
      </w:r>
      <w:r w:rsidR="00162789">
        <w:rPr>
          <w:rFonts w:ascii="Times New Roman" w:eastAsiaTheme="minorHAnsi" w:hAnsi="Times New Roman" w:cs="Times New Roman"/>
          <w:iCs/>
          <w:lang w:val="fr-FR"/>
        </w:rPr>
        <w:t>’</w:t>
      </w:r>
      <w:r w:rsidRPr="008F309E">
        <w:rPr>
          <w:rFonts w:ascii="Times New Roman" w:eastAsiaTheme="minorHAnsi" w:hAnsi="Times New Roman" w:cs="Times New Roman"/>
          <w:iCs/>
          <w:lang w:val="fr-FR"/>
        </w:rPr>
        <w:t>affaire</w:t>
      </w:r>
      <w:r w:rsidRPr="008F309E">
        <w:rPr>
          <w:rFonts w:eastAsiaTheme="minorHAnsi"/>
          <w:lang w:val="fr-FR"/>
        </w:rPr>
        <w:t xml:space="preserve"> </w:t>
      </w:r>
      <w:r w:rsidRPr="008F309E">
        <w:rPr>
          <w:rFonts w:ascii="Times New Roman" w:eastAsiaTheme="minorHAnsi" w:hAnsi="Times New Roman" w:cs="Times New Roman"/>
          <w:i/>
          <w:iCs/>
          <w:lang w:val="fr-FR"/>
        </w:rPr>
        <w:t>Stoichkov</w:t>
      </w:r>
      <w:r w:rsidRPr="008F309E">
        <w:rPr>
          <w:rFonts w:ascii="Times New Roman" w:eastAsiaTheme="minorHAnsi" w:hAnsi="Times New Roman" w:cs="Times New Roman"/>
          <w:iCs/>
          <w:lang w:val="fr-FR"/>
        </w:rPr>
        <w:t>.</w:t>
      </w:r>
    </w:p>
    <w:p w:rsidR="00B667DE" w:rsidRPr="008F309E" w:rsidRDefault="004913D7" w:rsidP="004913D7">
      <w:pPr>
        <w:pStyle w:val="ECHRHeading4"/>
        <w:rPr>
          <w:lang w:val="fr-FR"/>
        </w:rPr>
      </w:pPr>
      <w:r w:rsidRPr="008F309E">
        <w:rPr>
          <w:lang w:val="fr-FR"/>
        </w:rPr>
        <w:t>b)</w:t>
      </w:r>
      <w:r w:rsidR="00B667DE" w:rsidRPr="008F309E">
        <w:rPr>
          <w:lang w:val="fr-FR"/>
        </w:rPr>
        <w:t>  Le requérant</w:t>
      </w:r>
    </w:p>
    <w:p w:rsidR="005559D3" w:rsidRDefault="00B667DE" w:rsidP="00B667DE">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112</w:t>
      </w:r>
      <w:r w:rsidRPr="008F309E">
        <w:rPr>
          <w:lang w:val="fr-FR"/>
        </w:rPr>
        <w:fldChar w:fldCharType="end"/>
      </w:r>
      <w:r w:rsidRPr="008F309E">
        <w:rPr>
          <w:lang w:val="fr-FR"/>
        </w:rPr>
        <w:t>.  Le requérant soutient que ses griefs tirés des articles 6 et 13 de la Convention ainsi que de l</w:t>
      </w:r>
      <w:r w:rsidR="00162789">
        <w:rPr>
          <w:lang w:val="fr-FR"/>
        </w:rPr>
        <w:t>’</w:t>
      </w:r>
      <w:r w:rsidRPr="008F309E">
        <w:rPr>
          <w:lang w:val="fr-FR"/>
        </w:rPr>
        <w:t>article 2 du Protocole n</w:t>
      </w:r>
      <w:r w:rsidR="005559D3" w:rsidRPr="005559D3">
        <w:rPr>
          <w:vertAlign w:val="superscript"/>
          <w:lang w:val="fr-FR"/>
        </w:rPr>
        <w:t>o</w:t>
      </w:r>
      <w:r w:rsidRPr="008F309E">
        <w:rPr>
          <w:lang w:val="fr-FR"/>
        </w:rPr>
        <w:t xml:space="preserve"> 7 présupposaient l</w:t>
      </w:r>
      <w:r w:rsidR="00162789">
        <w:rPr>
          <w:lang w:val="fr-FR"/>
        </w:rPr>
        <w:t>’</w:t>
      </w:r>
      <w:r w:rsidRPr="008F309E">
        <w:rPr>
          <w:lang w:val="fr-FR"/>
        </w:rPr>
        <w:t>existence d</w:t>
      </w:r>
      <w:r w:rsidR="00162789">
        <w:rPr>
          <w:lang w:val="fr-FR"/>
        </w:rPr>
        <w:t>’</w:t>
      </w:r>
      <w:r w:rsidRPr="008F309E">
        <w:rPr>
          <w:lang w:val="fr-FR"/>
        </w:rPr>
        <w:t>un déni flagrant de justice capable de rendre illégale sa condamnation</w:t>
      </w:r>
      <w:r w:rsidR="00F76B81" w:rsidRPr="008F309E">
        <w:rPr>
          <w:lang w:val="fr-FR"/>
        </w:rPr>
        <w:t>,</w:t>
      </w:r>
      <w:r w:rsidRPr="008F309E">
        <w:rPr>
          <w:lang w:val="fr-FR"/>
        </w:rPr>
        <w:t xml:space="preserve"> et par conséquent son incarcération en exécution de celle-ci.</w:t>
      </w:r>
    </w:p>
    <w:p w:rsidR="00B667DE" w:rsidRPr="008F309E" w:rsidRDefault="00B667DE" w:rsidP="00B667DE">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113</w:t>
      </w:r>
      <w:r w:rsidRPr="008F309E">
        <w:rPr>
          <w:lang w:val="fr-FR"/>
        </w:rPr>
        <w:fldChar w:fldCharType="end"/>
      </w:r>
      <w:r w:rsidRPr="008F309E">
        <w:rPr>
          <w:lang w:val="fr-FR"/>
        </w:rPr>
        <w:t xml:space="preserve">.  Selon le requérant, le Gouvernement aurait en substance admis que cet incarcération était illégitime. </w:t>
      </w:r>
      <w:r w:rsidR="00F76B81" w:rsidRPr="008F309E">
        <w:rPr>
          <w:lang w:val="fr-FR"/>
        </w:rPr>
        <w:t>L</w:t>
      </w:r>
      <w:r w:rsidR="00162789">
        <w:rPr>
          <w:lang w:val="fr-FR"/>
        </w:rPr>
        <w:t>’</w:t>
      </w:r>
      <w:r w:rsidR="00F76B81" w:rsidRPr="008F309E">
        <w:rPr>
          <w:lang w:val="fr-FR"/>
        </w:rPr>
        <w:t>intéressé</w:t>
      </w:r>
      <w:r w:rsidRPr="008F309E">
        <w:rPr>
          <w:lang w:val="fr-FR"/>
        </w:rPr>
        <w:t xml:space="preserve"> allègue qu</w:t>
      </w:r>
      <w:r w:rsidR="00162789">
        <w:rPr>
          <w:lang w:val="fr-FR"/>
        </w:rPr>
        <w:t>’</w:t>
      </w:r>
      <w:r w:rsidRPr="008F309E">
        <w:rPr>
          <w:lang w:val="fr-FR"/>
        </w:rPr>
        <w:t>un « déni flagrant de justice » est constitué lorsqu</w:t>
      </w:r>
      <w:r w:rsidR="00162789">
        <w:rPr>
          <w:lang w:val="fr-FR"/>
        </w:rPr>
        <w:t>’</w:t>
      </w:r>
      <w:r w:rsidRPr="008F309E">
        <w:rPr>
          <w:lang w:val="fr-FR"/>
        </w:rPr>
        <w:t>un accusé n</w:t>
      </w:r>
      <w:r w:rsidR="00162789">
        <w:rPr>
          <w:lang w:val="fr-FR"/>
        </w:rPr>
        <w:t>’</w:t>
      </w:r>
      <w:r w:rsidRPr="008F309E">
        <w:rPr>
          <w:lang w:val="fr-FR"/>
        </w:rPr>
        <w:t xml:space="preserve">ayant pas renoncé à son droit à comparaître est privé de sa liberté à </w:t>
      </w:r>
      <w:r w:rsidR="00F76B81" w:rsidRPr="008F309E">
        <w:rPr>
          <w:lang w:val="fr-FR"/>
        </w:rPr>
        <w:t>cause</w:t>
      </w:r>
      <w:r w:rsidRPr="008F309E">
        <w:rPr>
          <w:lang w:val="fr-FR"/>
        </w:rPr>
        <w:t xml:space="preserve"> d</w:t>
      </w:r>
      <w:r w:rsidR="00162789">
        <w:rPr>
          <w:lang w:val="fr-FR"/>
        </w:rPr>
        <w:t>’</w:t>
      </w:r>
      <w:r w:rsidRPr="008F309E">
        <w:rPr>
          <w:lang w:val="fr-FR"/>
        </w:rPr>
        <w:t>une condamnation prononcée par contumace.</w:t>
      </w:r>
    </w:p>
    <w:p w:rsidR="00B667DE" w:rsidRPr="008F309E" w:rsidRDefault="004913D7" w:rsidP="00B667DE">
      <w:pPr>
        <w:pStyle w:val="ECHRHeading3"/>
        <w:rPr>
          <w:lang w:val="fr-FR"/>
        </w:rPr>
      </w:pPr>
      <w:r w:rsidRPr="008F309E">
        <w:rPr>
          <w:lang w:val="fr-FR"/>
        </w:rPr>
        <w:t>2</w:t>
      </w:r>
      <w:r w:rsidR="00B667DE" w:rsidRPr="008F309E">
        <w:rPr>
          <w:lang w:val="fr-FR"/>
        </w:rPr>
        <w:t>.  Appréciation de la Cour</w:t>
      </w:r>
    </w:p>
    <w:bookmarkStart w:id="42" w:name="giurisprudenzaStoichov"/>
    <w:p w:rsidR="00B667DE" w:rsidRPr="008F309E" w:rsidRDefault="00B667DE"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114</w:t>
      </w:r>
      <w:r w:rsidRPr="008F309E">
        <w:rPr>
          <w:lang w:val="fr-FR"/>
        </w:rPr>
        <w:fldChar w:fldCharType="end"/>
      </w:r>
      <w:bookmarkEnd w:id="42"/>
      <w:r w:rsidRPr="008F309E">
        <w:rPr>
          <w:lang w:val="fr-FR"/>
        </w:rPr>
        <w:t>.  La Cour rappelle qu</w:t>
      </w:r>
      <w:r w:rsidR="00162789">
        <w:rPr>
          <w:lang w:val="fr-FR"/>
        </w:rPr>
        <w:t>’</w:t>
      </w:r>
      <w:r w:rsidRPr="008F309E">
        <w:rPr>
          <w:lang w:val="fr-FR"/>
        </w:rPr>
        <w:t>elle a estimé que l</w:t>
      </w:r>
      <w:r w:rsidR="00162789">
        <w:rPr>
          <w:lang w:val="fr-FR"/>
        </w:rPr>
        <w:t>’</w:t>
      </w:r>
      <w:r w:rsidRPr="008F309E">
        <w:rPr>
          <w:lang w:val="fr-FR"/>
        </w:rPr>
        <w:t>obligation de garantir à l</w:t>
      </w:r>
      <w:r w:rsidR="00162789">
        <w:rPr>
          <w:lang w:val="fr-FR"/>
        </w:rPr>
        <w:t>’</w:t>
      </w:r>
      <w:r w:rsidRPr="008F309E">
        <w:rPr>
          <w:lang w:val="fr-FR"/>
        </w:rPr>
        <w:t>accusé le droit d</w:t>
      </w:r>
      <w:r w:rsidR="00162789">
        <w:rPr>
          <w:lang w:val="fr-FR"/>
        </w:rPr>
        <w:t>’</w:t>
      </w:r>
      <w:r w:rsidRPr="008F309E">
        <w:rPr>
          <w:lang w:val="fr-FR"/>
        </w:rPr>
        <w:t>être présent dans la salle d</w:t>
      </w:r>
      <w:r w:rsidR="00162789">
        <w:rPr>
          <w:lang w:val="fr-FR"/>
        </w:rPr>
        <w:t>’</w:t>
      </w:r>
      <w:r w:rsidRPr="008F309E">
        <w:rPr>
          <w:lang w:val="fr-FR"/>
        </w:rPr>
        <w:t>audience – soit pendant la première procédure à son encontre, soit au cours d</w:t>
      </w:r>
      <w:r w:rsidR="00162789">
        <w:rPr>
          <w:lang w:val="fr-FR"/>
        </w:rPr>
        <w:t>’</w:t>
      </w:r>
      <w:r w:rsidRPr="008F309E">
        <w:rPr>
          <w:lang w:val="fr-FR"/>
        </w:rPr>
        <w:t>un nouveau procès – est l</w:t>
      </w:r>
      <w:r w:rsidR="00162789">
        <w:rPr>
          <w:lang w:val="fr-FR"/>
        </w:rPr>
        <w:t>’</w:t>
      </w:r>
      <w:r w:rsidRPr="008F309E">
        <w:rPr>
          <w:lang w:val="fr-FR"/>
        </w:rPr>
        <w:t>un des éléments essentiels de l</w:t>
      </w:r>
      <w:r w:rsidR="00162789">
        <w:rPr>
          <w:lang w:val="fr-FR"/>
        </w:rPr>
        <w:t>’</w:t>
      </w:r>
      <w:r w:rsidRPr="008F309E">
        <w:rPr>
          <w:lang w:val="fr-FR"/>
        </w:rPr>
        <w:t>article 6 (</w:t>
      </w:r>
      <w:r w:rsidRPr="008F309E">
        <w:rPr>
          <w:i/>
          <w:lang w:val="fr-FR"/>
        </w:rPr>
        <w:t>Stoichkov</w:t>
      </w:r>
      <w:r w:rsidRPr="008F309E">
        <w:rPr>
          <w:lang w:val="fr-FR"/>
        </w:rPr>
        <w:t>, précité, § 56). Dès lors, le refus de rouvrir une procédure qui s</w:t>
      </w:r>
      <w:r w:rsidR="00162789">
        <w:rPr>
          <w:lang w:val="fr-FR"/>
        </w:rPr>
        <w:t>’</w:t>
      </w:r>
      <w:r w:rsidRPr="008F309E">
        <w:rPr>
          <w:lang w:val="fr-FR"/>
        </w:rPr>
        <w:t>est déroulée par contumace en l</w:t>
      </w:r>
      <w:r w:rsidR="00162789">
        <w:rPr>
          <w:lang w:val="fr-FR"/>
        </w:rPr>
        <w:t>’</w:t>
      </w:r>
      <w:r w:rsidRPr="008F309E">
        <w:rPr>
          <w:lang w:val="fr-FR"/>
        </w:rPr>
        <w:t>absence de toute indication que l</w:t>
      </w:r>
      <w:r w:rsidR="00162789">
        <w:rPr>
          <w:lang w:val="fr-FR"/>
        </w:rPr>
        <w:t>’</w:t>
      </w:r>
      <w:r w:rsidRPr="008F309E">
        <w:rPr>
          <w:lang w:val="fr-FR"/>
        </w:rPr>
        <w:t>accusé avait renoncé à son droit de comparaître a été considéré comme un « déni flagrant de justice », ce qui correspond à la notion de procédure « manifestement contraire aux dispositions de l</w:t>
      </w:r>
      <w:r w:rsidR="00162789">
        <w:rPr>
          <w:lang w:val="fr-FR"/>
        </w:rPr>
        <w:t>’</w:t>
      </w:r>
      <w:r w:rsidRPr="008F309E">
        <w:rPr>
          <w:lang w:val="fr-FR"/>
        </w:rPr>
        <w:t>article 6 ou aux principes qui y sont consacrés » (</w:t>
      </w:r>
      <w:r w:rsidRPr="008F309E">
        <w:rPr>
          <w:i/>
          <w:lang w:val="fr-FR"/>
        </w:rPr>
        <w:t xml:space="preserve">Stoichkov </w:t>
      </w:r>
      <w:r w:rsidRPr="008F309E">
        <w:rPr>
          <w:lang w:val="fr-FR"/>
        </w:rPr>
        <w:t>précité, §§ 54-58</w:t>
      </w:r>
      <w:r w:rsidR="008D0898" w:rsidRPr="008F309E">
        <w:rPr>
          <w:lang w:val="fr-FR"/>
        </w:rPr>
        <w:t> ;</w:t>
      </w:r>
      <w:r w:rsidRPr="008F309E">
        <w:rPr>
          <w:lang w:val="fr-FR"/>
        </w:rPr>
        <w:t xml:space="preserve"> </w:t>
      </w:r>
      <w:r w:rsidRPr="008F309E">
        <w:rPr>
          <w:i/>
          <w:lang w:val="fr-FR"/>
        </w:rPr>
        <w:t>Sejdovic</w:t>
      </w:r>
      <w:r w:rsidRPr="008F309E">
        <w:rPr>
          <w:lang w:val="fr-FR"/>
        </w:rPr>
        <w:t>, précité, § 84</w:t>
      </w:r>
      <w:r w:rsidR="008D0898" w:rsidRPr="008F309E">
        <w:rPr>
          <w:lang w:val="fr-FR"/>
        </w:rPr>
        <w:t xml:space="preserve"> ; et </w:t>
      </w:r>
      <w:r w:rsidR="008D0898" w:rsidRPr="008F309E">
        <w:rPr>
          <w:i/>
          <w:lang w:val="fr-FR"/>
        </w:rPr>
        <w:t>Othman (Abu Qatada) c. Royaume-Uni</w:t>
      </w:r>
      <w:r w:rsidR="008D0898" w:rsidRPr="008F309E">
        <w:rPr>
          <w:lang w:val="fr-FR"/>
        </w:rPr>
        <w:t>, n</w:t>
      </w:r>
      <w:r w:rsidR="005559D3" w:rsidRPr="005559D3">
        <w:rPr>
          <w:vertAlign w:val="superscript"/>
          <w:lang w:val="fr-FR"/>
        </w:rPr>
        <w:t>o</w:t>
      </w:r>
      <w:r w:rsidR="008D0898" w:rsidRPr="008F309E">
        <w:rPr>
          <w:lang w:val="fr-FR"/>
        </w:rPr>
        <w:t xml:space="preserve"> 8139/09, § 259, CEDH 2012</w:t>
      </w:r>
      <w:r w:rsidR="003768D5">
        <w:rPr>
          <w:lang w:val="fr-FR"/>
        </w:rPr>
        <w:t> </w:t>
      </w:r>
      <w:r w:rsidRPr="008F309E">
        <w:rPr>
          <w:lang w:val="fr-FR"/>
        </w:rPr>
        <w:t xml:space="preserve">; voir également </w:t>
      </w:r>
      <w:r w:rsidR="009A795C">
        <w:rPr>
          <w:rFonts w:eastAsiaTheme="majorEastAsia"/>
          <w:i/>
          <w:lang w:val="fr-FR"/>
        </w:rPr>
        <w:t>Drozd et </w:t>
      </w:r>
      <w:r w:rsidRPr="008F309E">
        <w:rPr>
          <w:rFonts w:eastAsiaTheme="majorEastAsia"/>
          <w:i/>
          <w:lang w:val="fr-FR"/>
        </w:rPr>
        <w:t>Janousek c. France et Espagne</w:t>
      </w:r>
      <w:r w:rsidRPr="008F309E">
        <w:rPr>
          <w:lang w:val="fr-FR"/>
        </w:rPr>
        <w:t>, 26 juin 1992, § 110, série A n</w:t>
      </w:r>
      <w:r w:rsidR="005559D3" w:rsidRPr="005559D3">
        <w:rPr>
          <w:vertAlign w:val="superscript"/>
          <w:lang w:val="fr-FR"/>
        </w:rPr>
        <w:t>o</w:t>
      </w:r>
      <w:r w:rsidRPr="008F309E">
        <w:rPr>
          <w:lang w:val="fr-FR"/>
        </w:rPr>
        <w:t xml:space="preserve"> 240, et </w:t>
      </w:r>
      <w:r w:rsidRPr="008F309E">
        <w:rPr>
          <w:rFonts w:eastAsiaTheme="majorEastAsia"/>
          <w:i/>
          <w:lang w:val="fr-FR"/>
        </w:rPr>
        <w:t>Ilaşcu et autres c. Moldavie et Russie</w:t>
      </w:r>
      <w:r w:rsidRPr="008F309E">
        <w:rPr>
          <w:rFonts w:eastAsiaTheme="majorEastAsia"/>
          <w:lang w:val="fr-FR"/>
        </w:rPr>
        <w:t xml:space="preserve"> </w:t>
      </w:r>
      <w:r w:rsidRPr="008F309E">
        <w:rPr>
          <w:lang w:val="fr-FR"/>
        </w:rPr>
        <w:t>[GC], n</w:t>
      </w:r>
      <w:r w:rsidR="005559D3" w:rsidRPr="005559D3">
        <w:rPr>
          <w:vertAlign w:val="superscript"/>
          <w:lang w:val="fr-FR"/>
        </w:rPr>
        <w:t>o</w:t>
      </w:r>
      <w:r w:rsidRPr="008F309E">
        <w:rPr>
          <w:lang w:val="fr-FR"/>
        </w:rPr>
        <w:t xml:space="preserve"> 48787/99, § 461, CEDH 2004-VII). Dans l</w:t>
      </w:r>
      <w:r w:rsidR="00162789">
        <w:rPr>
          <w:lang w:val="fr-FR"/>
        </w:rPr>
        <w:t>’</w:t>
      </w:r>
      <w:r w:rsidRPr="008F309E">
        <w:rPr>
          <w:lang w:val="fr-FR"/>
        </w:rPr>
        <w:t xml:space="preserve">affaire </w:t>
      </w:r>
      <w:r w:rsidRPr="008F309E">
        <w:rPr>
          <w:i/>
          <w:lang w:val="fr-FR"/>
        </w:rPr>
        <w:t>Stoichkov</w:t>
      </w:r>
      <w:r w:rsidRPr="008F309E">
        <w:rPr>
          <w:lang w:val="fr-FR"/>
        </w:rPr>
        <w:t xml:space="preserve"> (précité, §§ 51-59), ces considérations ont amené la Cour à estimer que la détention d</w:t>
      </w:r>
      <w:r w:rsidR="00162789">
        <w:rPr>
          <w:lang w:val="fr-FR"/>
        </w:rPr>
        <w:t>’</w:t>
      </w:r>
      <w:r w:rsidRPr="008F309E">
        <w:rPr>
          <w:lang w:val="fr-FR"/>
        </w:rPr>
        <w:t>une personne jugée par contumace sans possibilité de réouverture de la procédure</w:t>
      </w:r>
      <w:r w:rsidR="00DC6EB7" w:rsidRPr="007501D0">
        <w:rPr>
          <w:lang w:val="fr-FR"/>
        </w:rPr>
        <w:t>, et donc de manière manifestement et gravement contraire à l</w:t>
      </w:r>
      <w:r w:rsidR="00162789">
        <w:rPr>
          <w:lang w:val="fr-FR"/>
        </w:rPr>
        <w:t>’</w:t>
      </w:r>
      <w:r w:rsidR="00DC6EB7" w:rsidRPr="007501D0">
        <w:rPr>
          <w:lang w:val="fr-FR"/>
        </w:rPr>
        <w:t>article 6,</w:t>
      </w:r>
      <w:r w:rsidRPr="008F309E">
        <w:rPr>
          <w:lang w:val="fr-FR"/>
        </w:rPr>
        <w:t xml:space="preserve"> ne se justifiait pas sous l</w:t>
      </w:r>
      <w:r w:rsidR="00162789">
        <w:rPr>
          <w:lang w:val="fr-FR"/>
        </w:rPr>
        <w:t>’</w:t>
      </w:r>
      <w:r w:rsidRPr="008F309E">
        <w:rPr>
          <w:lang w:val="fr-FR"/>
        </w:rPr>
        <w:t>angle de l</w:t>
      </w:r>
      <w:r w:rsidR="00162789">
        <w:rPr>
          <w:lang w:val="fr-FR"/>
        </w:rPr>
        <w:t>’</w:t>
      </w:r>
      <w:r w:rsidRPr="008F309E">
        <w:rPr>
          <w:lang w:val="fr-FR"/>
        </w:rPr>
        <w:t>article 5 § 1 a) de la Convention</w:t>
      </w:r>
      <w:r w:rsidR="008D0898" w:rsidRPr="008F309E">
        <w:rPr>
          <w:lang w:val="fr-FR"/>
        </w:rPr>
        <w:t xml:space="preserve"> (voir également </w:t>
      </w:r>
      <w:r w:rsidR="009A795C">
        <w:rPr>
          <w:i/>
          <w:lang w:val="fr-FR"/>
        </w:rPr>
        <w:t>Al</w:t>
      </w:r>
      <w:r w:rsidR="009A795C">
        <w:rPr>
          <w:i/>
          <w:lang w:val="fr-FR"/>
        </w:rPr>
        <w:noBreakHyphen/>
      </w:r>
      <w:r w:rsidR="008D0898" w:rsidRPr="008F309E">
        <w:rPr>
          <w:i/>
          <w:lang w:val="fr-FR"/>
        </w:rPr>
        <w:t>Nashiri c. Pologne</w:t>
      </w:r>
      <w:r w:rsidR="008D0898" w:rsidRPr="008F309E">
        <w:rPr>
          <w:lang w:val="fr-FR"/>
        </w:rPr>
        <w:t>, n</w:t>
      </w:r>
      <w:r w:rsidR="005559D3" w:rsidRPr="005559D3">
        <w:rPr>
          <w:vertAlign w:val="superscript"/>
          <w:lang w:val="fr-FR"/>
        </w:rPr>
        <w:t>o</w:t>
      </w:r>
      <w:r w:rsidR="008D0898" w:rsidRPr="008F309E">
        <w:rPr>
          <w:lang w:val="fr-FR"/>
        </w:rPr>
        <w:t xml:space="preserve"> 28761/11, § 562, 24 juillet 2014, et </w:t>
      </w:r>
      <w:r w:rsidR="009A795C">
        <w:rPr>
          <w:i/>
          <w:lang w:val="fr-FR"/>
        </w:rPr>
        <w:t>Willcox et </w:t>
      </w:r>
      <w:r w:rsidR="008D0898" w:rsidRPr="008F309E">
        <w:rPr>
          <w:i/>
          <w:lang w:val="fr-FR"/>
        </w:rPr>
        <w:t>Hurford c. Royaume-Uni</w:t>
      </w:r>
      <w:r w:rsidR="008D0898" w:rsidRPr="008F309E">
        <w:rPr>
          <w:lang w:val="fr-FR"/>
        </w:rPr>
        <w:t xml:space="preserve"> (déc.), n</w:t>
      </w:r>
      <w:r w:rsidR="008D0898" w:rsidRPr="008F309E">
        <w:rPr>
          <w:vertAlign w:val="superscript"/>
          <w:lang w:val="fr-FR"/>
        </w:rPr>
        <w:t>os</w:t>
      </w:r>
      <w:r w:rsidR="008D0898" w:rsidRPr="008F309E">
        <w:rPr>
          <w:lang w:val="fr-FR"/>
        </w:rPr>
        <w:t xml:space="preserve"> 43759/10 et 43771/12, § 95, </w:t>
      </w:r>
      <w:r w:rsidR="00636A39" w:rsidRPr="008F309E">
        <w:rPr>
          <w:lang w:val="fr-FR"/>
        </w:rPr>
        <w:t>CEDH</w:t>
      </w:r>
      <w:r w:rsidR="009A795C">
        <w:rPr>
          <w:lang w:val="fr-FR"/>
        </w:rPr>
        <w:t> </w:t>
      </w:r>
      <w:r w:rsidR="008D0898" w:rsidRPr="00271C69">
        <w:rPr>
          <w:rFonts w:ascii="Times New Roman" w:hAnsi="Times New Roman" w:cs="Times New Roman"/>
          <w:lang w:val="fr-FR"/>
        </w:rPr>
        <w:t>2013</w:t>
      </w:r>
      <w:r w:rsidR="008D0898" w:rsidRPr="00271C69">
        <w:rPr>
          <w:rFonts w:ascii="Times New Roman" w:hAnsi="Times New Roman" w:cs="Times New Roman"/>
          <w:iCs/>
          <w:szCs w:val="24"/>
          <w:lang w:val="fr-FR"/>
        </w:rPr>
        <w:t>,</w:t>
      </w:r>
      <w:r w:rsidR="008D0898" w:rsidRPr="00271C69">
        <w:rPr>
          <w:rFonts w:ascii="Times New Roman" w:hAnsi="Times New Roman" w:cs="Times New Roman"/>
          <w:szCs w:val="24"/>
          <w:lang w:val="fr-FR"/>
        </w:rPr>
        <w:t xml:space="preserve"> où la Cour a réitéré qu</w:t>
      </w:r>
      <w:r w:rsidR="00162789">
        <w:rPr>
          <w:rFonts w:ascii="Times New Roman" w:hAnsi="Times New Roman" w:cs="Times New Roman"/>
          <w:szCs w:val="24"/>
          <w:lang w:val="fr-FR"/>
        </w:rPr>
        <w:t>’</w:t>
      </w:r>
      <w:r w:rsidR="008D0898" w:rsidRPr="00271C69">
        <w:rPr>
          <w:rFonts w:ascii="Times New Roman" w:hAnsi="Times New Roman" w:cs="Times New Roman"/>
          <w:szCs w:val="24"/>
          <w:lang w:val="fr-FR"/>
        </w:rPr>
        <w:t xml:space="preserve">une </w:t>
      </w:r>
      <w:r w:rsidR="008D0898" w:rsidRPr="00271C69">
        <w:rPr>
          <w:rFonts w:ascii="Times New Roman" w:hAnsi="Times New Roman" w:cs="Times New Roman"/>
          <w:lang w:val="fr-FR"/>
        </w:rPr>
        <w:t>privation de liberté ne peut passer pour justifiée dès lors qu</w:t>
      </w:r>
      <w:r w:rsidR="00162789">
        <w:rPr>
          <w:rFonts w:ascii="Times New Roman" w:hAnsi="Times New Roman" w:cs="Times New Roman"/>
          <w:lang w:val="fr-FR"/>
        </w:rPr>
        <w:t>’</w:t>
      </w:r>
      <w:r w:rsidR="008D0898" w:rsidRPr="00271C69">
        <w:rPr>
          <w:rFonts w:ascii="Times New Roman" w:hAnsi="Times New Roman" w:cs="Times New Roman"/>
          <w:lang w:val="fr-FR"/>
        </w:rPr>
        <w:t>elle découle</w:t>
      </w:r>
      <w:r w:rsidR="008D0898" w:rsidRPr="008F309E">
        <w:rPr>
          <w:lang w:val="fr-FR"/>
        </w:rPr>
        <w:t xml:space="preserve"> d</w:t>
      </w:r>
      <w:r w:rsidR="00162789">
        <w:rPr>
          <w:lang w:val="fr-FR"/>
        </w:rPr>
        <w:t>’</w:t>
      </w:r>
      <w:r w:rsidR="008D0898" w:rsidRPr="008F309E">
        <w:rPr>
          <w:lang w:val="fr-FR"/>
        </w:rPr>
        <w:t>une condamnation prononcée à l</w:t>
      </w:r>
      <w:r w:rsidR="00162789">
        <w:rPr>
          <w:lang w:val="fr-FR"/>
        </w:rPr>
        <w:t>’</w:t>
      </w:r>
      <w:r w:rsidR="008D0898" w:rsidRPr="008F309E">
        <w:rPr>
          <w:lang w:val="fr-FR"/>
        </w:rPr>
        <w:t>issue d</w:t>
      </w:r>
      <w:r w:rsidR="00162789">
        <w:rPr>
          <w:lang w:val="fr-FR"/>
        </w:rPr>
        <w:t>’</w:t>
      </w:r>
      <w:r w:rsidR="008D0898" w:rsidRPr="008F309E">
        <w:rPr>
          <w:lang w:val="fr-FR"/>
        </w:rPr>
        <w:t>un procès entaché d</w:t>
      </w:r>
      <w:r w:rsidR="00162789">
        <w:rPr>
          <w:lang w:val="fr-FR"/>
        </w:rPr>
        <w:t>’</w:t>
      </w:r>
      <w:r w:rsidR="008D0898" w:rsidRPr="008F309E">
        <w:rPr>
          <w:lang w:val="fr-FR"/>
        </w:rPr>
        <w:t>un « déni de justice flagrant », ce qui est notamment le cas lorsqu</w:t>
      </w:r>
      <w:r w:rsidR="00162789">
        <w:rPr>
          <w:lang w:val="fr-FR"/>
        </w:rPr>
        <w:t>’</w:t>
      </w:r>
      <w:r w:rsidR="008D0898" w:rsidRPr="008F309E">
        <w:rPr>
          <w:lang w:val="fr-FR"/>
        </w:rPr>
        <w:t xml:space="preserve">il y a eu condamnation </w:t>
      </w:r>
      <w:r w:rsidR="008D0898" w:rsidRPr="008F309E">
        <w:rPr>
          <w:i/>
          <w:lang w:val="fr-FR"/>
        </w:rPr>
        <w:t>in absentia</w:t>
      </w:r>
      <w:r w:rsidR="008D0898" w:rsidRPr="008F309E">
        <w:rPr>
          <w:lang w:val="fr-FR"/>
        </w:rPr>
        <w:t xml:space="preserve"> sans possibilité de réexamen au fond de l</w:t>
      </w:r>
      <w:r w:rsidR="00162789">
        <w:rPr>
          <w:lang w:val="fr-FR"/>
        </w:rPr>
        <w:t>’</w:t>
      </w:r>
      <w:r w:rsidR="008D0898" w:rsidRPr="008F309E">
        <w:rPr>
          <w:lang w:val="fr-FR"/>
        </w:rPr>
        <w:t>accusation)</w:t>
      </w:r>
      <w:r w:rsidRPr="008F309E">
        <w:rPr>
          <w:lang w:val="fr-FR"/>
        </w:rPr>
        <w:t>.</w:t>
      </w:r>
    </w:p>
    <w:p w:rsidR="00B667DE" w:rsidRDefault="00B667DE"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115</w:t>
      </w:r>
      <w:r w:rsidRPr="008F309E">
        <w:rPr>
          <w:lang w:val="fr-FR"/>
        </w:rPr>
        <w:fldChar w:fldCharType="end"/>
      </w:r>
      <w:r w:rsidRPr="008F309E">
        <w:rPr>
          <w:lang w:val="fr-FR"/>
        </w:rPr>
        <w:t>.  </w:t>
      </w:r>
      <w:r w:rsidR="000A283F" w:rsidRPr="008F309E">
        <w:rPr>
          <w:lang w:val="fr-FR"/>
        </w:rPr>
        <w:t>La Cour observe que le 11 avril 2001, le requérant a été emprisonné en exécution de sa « condamnation par un tribunal compétent ». Sa privation de liberté tombait donc dans le champ d</w:t>
      </w:r>
      <w:r w:rsidR="00162789">
        <w:rPr>
          <w:lang w:val="fr-FR"/>
        </w:rPr>
        <w:t>’</w:t>
      </w:r>
      <w:r w:rsidR="000A283F" w:rsidRPr="008F309E">
        <w:rPr>
          <w:lang w:val="fr-FR"/>
        </w:rPr>
        <w:t>application de l</w:t>
      </w:r>
      <w:r w:rsidR="00162789">
        <w:rPr>
          <w:lang w:val="fr-FR"/>
        </w:rPr>
        <w:t>’</w:t>
      </w:r>
      <w:r w:rsidR="000A283F" w:rsidRPr="008F309E">
        <w:rPr>
          <w:lang w:val="fr-FR"/>
        </w:rPr>
        <w:t>article 5 § 1 a) de la Convention et était conforme au but de cette disposition. Comme indiqué par le Gouvernement, la condamnation par contumace de l</w:t>
      </w:r>
      <w:r w:rsidR="00162789">
        <w:rPr>
          <w:lang w:val="fr-FR"/>
        </w:rPr>
        <w:t>’</w:t>
      </w:r>
      <w:r w:rsidR="000A283F" w:rsidRPr="008F309E">
        <w:rPr>
          <w:lang w:val="fr-FR"/>
        </w:rPr>
        <w:t>intéressé était légale en droit italien et rien ne permet de penser qu</w:t>
      </w:r>
      <w:r w:rsidR="00162789">
        <w:rPr>
          <w:lang w:val="fr-FR"/>
        </w:rPr>
        <w:t>’</w:t>
      </w:r>
      <w:r w:rsidR="000A283F" w:rsidRPr="008F309E">
        <w:rPr>
          <w:lang w:val="fr-FR"/>
        </w:rPr>
        <w:t>elle était arbitraire ou dépourvue de base factuelle.</w:t>
      </w:r>
    </w:p>
    <w:p w:rsidR="00636A39" w:rsidRPr="008F309E" w:rsidRDefault="000A283F"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116</w:t>
      </w:r>
      <w:r w:rsidRPr="008F309E">
        <w:rPr>
          <w:lang w:val="fr-FR"/>
        </w:rPr>
        <w:fldChar w:fldCharType="end"/>
      </w:r>
      <w:r w:rsidRPr="008F309E">
        <w:rPr>
          <w:lang w:val="fr-FR"/>
        </w:rPr>
        <w:t>.  Cependant, la procédure pénale contre le requérant, commencée en 1994 et terminée par l</w:t>
      </w:r>
      <w:r w:rsidR="00162789">
        <w:rPr>
          <w:lang w:val="fr-FR"/>
        </w:rPr>
        <w:t>’</w:t>
      </w:r>
      <w:r w:rsidRPr="008F309E">
        <w:rPr>
          <w:lang w:val="fr-FR"/>
        </w:rPr>
        <w:t>arrêt de la Cour de cassation du 3 juillet 2000</w:t>
      </w:r>
      <w:r w:rsidR="0092369D" w:rsidRPr="008F309E">
        <w:rPr>
          <w:lang w:val="fr-FR"/>
        </w:rPr>
        <w:t>,</w:t>
      </w:r>
      <w:r w:rsidRPr="008F309E">
        <w:rPr>
          <w:lang w:val="fr-FR"/>
        </w:rPr>
        <w:t xml:space="preserve"> a eu lieu par contumace, alors que l</w:t>
      </w:r>
      <w:r w:rsidR="00162789">
        <w:rPr>
          <w:lang w:val="fr-FR"/>
        </w:rPr>
        <w:t>’</w:t>
      </w:r>
      <w:r w:rsidRPr="008F309E">
        <w:rPr>
          <w:lang w:val="fr-FR"/>
        </w:rPr>
        <w:t>intéressé était détenu sous écrou extraditionnel au Brésil</w:t>
      </w:r>
      <w:r w:rsidR="00D56745" w:rsidRPr="008F309E">
        <w:rPr>
          <w:lang w:val="fr-FR"/>
        </w:rPr>
        <w:t xml:space="preserve"> </w:t>
      </w:r>
      <w:r w:rsidR="00D56745" w:rsidRPr="008F309E">
        <w:rPr>
          <w:szCs w:val="24"/>
          <w:lang w:val="fr-FR"/>
        </w:rPr>
        <w:t>et n</w:t>
      </w:r>
      <w:r w:rsidR="00162789">
        <w:rPr>
          <w:szCs w:val="24"/>
          <w:lang w:val="fr-FR"/>
        </w:rPr>
        <w:t>’</w:t>
      </w:r>
      <w:r w:rsidR="00D56745" w:rsidRPr="008F309E">
        <w:rPr>
          <w:szCs w:val="24"/>
          <w:lang w:val="fr-FR"/>
        </w:rPr>
        <w:t>avait manifestement pas renoncé à son droit à comparaître</w:t>
      </w:r>
      <w:r w:rsidRPr="008F309E">
        <w:rPr>
          <w:lang w:val="fr-FR"/>
        </w:rPr>
        <w:t xml:space="preserve">. </w:t>
      </w:r>
      <w:r w:rsidR="007F6D04">
        <w:rPr>
          <w:lang w:val="fr-FR"/>
        </w:rPr>
        <w:t xml:space="preserve">La circonstance que, exerçant une faculté reconnue par la loi, le requérant se soit opposé à son extradition (paragraphes </w:t>
      </w:r>
      <w:r w:rsidR="007501D0">
        <w:rPr>
          <w:noProof/>
          <w:lang w:val="fr-FR"/>
        </w:rPr>
        <w:t>10</w:t>
      </w:r>
      <w:r w:rsidR="007F6D04">
        <w:rPr>
          <w:lang w:val="fr-FR"/>
        </w:rPr>
        <w:t xml:space="preserve"> et </w:t>
      </w:r>
      <w:r w:rsidR="007501D0">
        <w:rPr>
          <w:noProof/>
          <w:lang w:val="fr-FR"/>
        </w:rPr>
        <w:t>20</w:t>
      </w:r>
      <w:r w:rsidR="007F6D04">
        <w:rPr>
          <w:lang w:val="fr-FR"/>
        </w:rPr>
        <w:t xml:space="preserve"> ci-dessus) ne saurait être interprétée comme une tentative de se dérober de la justice ou comme une renonciation tacite à </w:t>
      </w:r>
      <w:r w:rsidR="001D5F23">
        <w:rPr>
          <w:lang w:val="fr-FR"/>
        </w:rPr>
        <w:t>participer</w:t>
      </w:r>
      <w:r w:rsidR="007F6D04">
        <w:rPr>
          <w:lang w:val="fr-FR"/>
        </w:rPr>
        <w:t xml:space="preserve"> au procès. </w:t>
      </w:r>
      <w:r w:rsidR="007F6D04">
        <w:rPr>
          <w:rFonts w:cstheme="minorHAnsi"/>
          <w:lang w:val="fr-FR"/>
        </w:rPr>
        <w:t>À</w:t>
      </w:r>
      <w:r w:rsidR="007F6D04">
        <w:rPr>
          <w:lang w:val="fr-FR"/>
        </w:rPr>
        <w:t xml:space="preserve"> cet égard, la Cour observe que l</w:t>
      </w:r>
      <w:r w:rsidR="00162789">
        <w:rPr>
          <w:lang w:val="fr-FR"/>
        </w:rPr>
        <w:t>’</w:t>
      </w:r>
      <w:r w:rsidR="007F6D04">
        <w:rPr>
          <w:lang w:val="fr-FR"/>
        </w:rPr>
        <w:t xml:space="preserve">avocat du requérant a à plusieurs reprises demandé de révoquer </w:t>
      </w:r>
      <w:r w:rsidR="007F6D04" w:rsidRPr="008F309E">
        <w:rPr>
          <w:lang w:val="fr-FR"/>
        </w:rPr>
        <w:t>la déclaration de fuite</w:t>
      </w:r>
      <w:r w:rsidR="007F6D04">
        <w:rPr>
          <w:lang w:val="fr-FR"/>
        </w:rPr>
        <w:t xml:space="preserve"> </w:t>
      </w:r>
      <w:r w:rsidR="0092369D" w:rsidRPr="008F309E">
        <w:rPr>
          <w:lang w:val="fr-FR"/>
        </w:rPr>
        <w:t>et la décision de procéder</w:t>
      </w:r>
      <w:r w:rsidRPr="008F309E">
        <w:rPr>
          <w:lang w:val="fr-FR"/>
        </w:rPr>
        <w:t xml:space="preserve"> </w:t>
      </w:r>
      <w:r w:rsidRPr="008F309E">
        <w:rPr>
          <w:i/>
          <w:lang w:val="fr-FR"/>
        </w:rPr>
        <w:t>in absentia</w:t>
      </w:r>
      <w:r w:rsidR="00636A39" w:rsidRPr="008F309E">
        <w:rPr>
          <w:lang w:val="fr-FR"/>
        </w:rPr>
        <w:t>,</w:t>
      </w:r>
      <w:r w:rsidRPr="008F309E">
        <w:rPr>
          <w:i/>
          <w:lang w:val="fr-FR"/>
        </w:rPr>
        <w:t xml:space="preserve"> </w:t>
      </w:r>
      <w:r w:rsidR="0092369D" w:rsidRPr="008F309E">
        <w:rPr>
          <w:lang w:val="fr-FR"/>
        </w:rPr>
        <w:t>fai</w:t>
      </w:r>
      <w:r w:rsidR="007F6D04">
        <w:rPr>
          <w:lang w:val="fr-FR"/>
        </w:rPr>
        <w:t>sant</w:t>
      </w:r>
      <w:r w:rsidR="0092369D" w:rsidRPr="008F309E">
        <w:rPr>
          <w:lang w:val="fr-FR"/>
        </w:rPr>
        <w:t xml:space="preserve"> valoir un empêchement légitime</w:t>
      </w:r>
      <w:r w:rsidR="007F6D04">
        <w:rPr>
          <w:lang w:val="fr-FR"/>
        </w:rPr>
        <w:t>. Toutefois, ces demandes ont</w:t>
      </w:r>
      <w:r w:rsidR="0092369D" w:rsidRPr="008F309E">
        <w:rPr>
          <w:lang w:val="fr-FR"/>
        </w:rPr>
        <w:t xml:space="preserve"> été rejeté</w:t>
      </w:r>
      <w:r w:rsidR="00636A39" w:rsidRPr="008F309E">
        <w:rPr>
          <w:lang w:val="fr-FR"/>
        </w:rPr>
        <w:t>e</w:t>
      </w:r>
      <w:r w:rsidR="007F6D04">
        <w:rPr>
          <w:lang w:val="fr-FR"/>
        </w:rPr>
        <w:t>s</w:t>
      </w:r>
      <w:r w:rsidR="0092369D" w:rsidRPr="008F309E">
        <w:rPr>
          <w:lang w:val="fr-FR"/>
        </w:rPr>
        <w:t xml:space="preserve"> par les juridictions de première et deuxième instance et par la Cour de cassation (paragraphes </w:t>
      </w:r>
      <w:r w:rsidR="007501D0">
        <w:rPr>
          <w:noProof/>
          <w:lang w:val="fr-FR"/>
        </w:rPr>
        <w:t>12</w:t>
      </w:r>
      <w:r w:rsidR="0092369D" w:rsidRPr="008F309E">
        <w:rPr>
          <w:lang w:val="fr-FR"/>
        </w:rPr>
        <w:t>-</w:t>
      </w:r>
      <w:r w:rsidR="007501D0">
        <w:rPr>
          <w:noProof/>
          <w:lang w:val="fr-FR"/>
        </w:rPr>
        <w:t>23</w:t>
      </w:r>
      <w:r w:rsidR="0092369D" w:rsidRPr="008F309E">
        <w:rPr>
          <w:lang w:val="fr-FR"/>
        </w:rPr>
        <w:t xml:space="preserve"> ci-dessus). </w:t>
      </w:r>
      <w:r w:rsidR="00636A39" w:rsidRPr="008F309E">
        <w:rPr>
          <w:lang w:val="fr-FR"/>
        </w:rPr>
        <w:t>Il en a été de même pour ce qui est de l</w:t>
      </w:r>
      <w:r w:rsidR="00162789">
        <w:rPr>
          <w:lang w:val="fr-FR"/>
        </w:rPr>
        <w:t>’</w:t>
      </w:r>
      <w:r w:rsidR="0092369D" w:rsidRPr="008F309E">
        <w:rPr>
          <w:lang w:val="fr-FR"/>
        </w:rPr>
        <w:t>incident d</w:t>
      </w:r>
      <w:r w:rsidR="00162789">
        <w:rPr>
          <w:lang w:val="fr-FR"/>
        </w:rPr>
        <w:t>’</w:t>
      </w:r>
      <w:r w:rsidR="0092369D" w:rsidRPr="008F309E">
        <w:rPr>
          <w:lang w:val="fr-FR"/>
        </w:rPr>
        <w:t xml:space="preserve">exécution introduit par le requérant en novembre 2007 (paragraphes </w:t>
      </w:r>
      <w:r w:rsidR="007501D0">
        <w:rPr>
          <w:noProof/>
          <w:lang w:val="fr-FR"/>
        </w:rPr>
        <w:t>25</w:t>
      </w:r>
      <w:r w:rsidR="0092369D" w:rsidRPr="008F309E">
        <w:rPr>
          <w:lang w:val="fr-FR"/>
        </w:rPr>
        <w:t>-</w:t>
      </w:r>
      <w:r w:rsidR="007501D0">
        <w:rPr>
          <w:noProof/>
          <w:lang w:val="fr-FR"/>
        </w:rPr>
        <w:t>32</w:t>
      </w:r>
      <w:r w:rsidR="0092369D" w:rsidRPr="008F309E">
        <w:rPr>
          <w:lang w:val="fr-FR"/>
        </w:rPr>
        <w:t xml:space="preserve"> ci-dessus).</w:t>
      </w:r>
    </w:p>
    <w:p w:rsidR="00B667DE" w:rsidRPr="008F309E" w:rsidRDefault="00636A39"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117</w:t>
      </w:r>
      <w:r w:rsidRPr="008F309E">
        <w:rPr>
          <w:lang w:val="fr-FR"/>
        </w:rPr>
        <w:fldChar w:fldCharType="end"/>
      </w:r>
      <w:r w:rsidRPr="008F309E">
        <w:rPr>
          <w:lang w:val="fr-FR"/>
        </w:rPr>
        <w:t>.  </w:t>
      </w:r>
      <w:r w:rsidR="00E937BB" w:rsidRPr="008F309E">
        <w:rPr>
          <w:lang w:val="fr-FR"/>
        </w:rPr>
        <w:t xml:space="preserve">À la lumière de sa jurisprudence en la matière (paragraphe </w:t>
      </w:r>
      <w:r w:rsidR="007501D0">
        <w:rPr>
          <w:noProof/>
          <w:lang w:val="fr-FR"/>
        </w:rPr>
        <w:t>114</w:t>
      </w:r>
      <w:r w:rsidR="00C16925">
        <w:rPr>
          <w:lang w:val="fr-FR"/>
        </w:rPr>
        <w:t xml:space="preserve"> ci</w:t>
      </w:r>
      <w:r w:rsidR="00C16925">
        <w:rPr>
          <w:lang w:val="fr-FR"/>
        </w:rPr>
        <w:noBreakHyphen/>
      </w:r>
      <w:r w:rsidR="00E937BB" w:rsidRPr="008F309E">
        <w:rPr>
          <w:lang w:val="fr-FR"/>
        </w:rPr>
        <w:t>dessus), la Cour estime qu</w:t>
      </w:r>
      <w:r w:rsidR="00162789">
        <w:rPr>
          <w:lang w:val="fr-FR"/>
        </w:rPr>
        <w:t>’</w:t>
      </w:r>
      <w:r w:rsidR="00E937BB" w:rsidRPr="008F309E">
        <w:rPr>
          <w:lang w:val="fr-FR"/>
        </w:rPr>
        <w:t>une telle procédure, assortie de refus réitérés de la rouvrir et/ou de tenir compte de l</w:t>
      </w:r>
      <w:r w:rsidR="00162789">
        <w:rPr>
          <w:lang w:val="fr-FR"/>
        </w:rPr>
        <w:t>’</w:t>
      </w:r>
      <w:r w:rsidR="0038455F" w:rsidRPr="008F309E">
        <w:rPr>
          <w:lang w:val="fr-FR"/>
        </w:rPr>
        <w:t xml:space="preserve">empêchement objectif représenté par la </w:t>
      </w:r>
      <w:r w:rsidR="00E937BB" w:rsidRPr="008F309E">
        <w:rPr>
          <w:lang w:val="fr-FR"/>
        </w:rPr>
        <w:t xml:space="preserve">détention sous écrou extraditionnel </w:t>
      </w:r>
      <w:r w:rsidR="0038455F" w:rsidRPr="008F309E">
        <w:rPr>
          <w:lang w:val="fr-FR"/>
        </w:rPr>
        <w:t>à l</w:t>
      </w:r>
      <w:r w:rsidR="00162789">
        <w:rPr>
          <w:lang w:val="fr-FR"/>
        </w:rPr>
        <w:t>’</w:t>
      </w:r>
      <w:r w:rsidR="0038455F" w:rsidRPr="008F309E">
        <w:rPr>
          <w:lang w:val="fr-FR"/>
        </w:rPr>
        <w:t>étranger</w:t>
      </w:r>
      <w:r w:rsidR="00E937BB" w:rsidRPr="008F309E">
        <w:rPr>
          <w:lang w:val="fr-FR"/>
        </w:rPr>
        <w:t>, était « manifestement contraire aux dispositions de l</w:t>
      </w:r>
      <w:r w:rsidR="00162789">
        <w:rPr>
          <w:lang w:val="fr-FR"/>
        </w:rPr>
        <w:t>’</w:t>
      </w:r>
      <w:r w:rsidR="00E937BB" w:rsidRPr="008F309E">
        <w:rPr>
          <w:lang w:val="fr-FR"/>
        </w:rPr>
        <w:t xml:space="preserve">article 6 ou aux principes qui y sont consacrés ». Ce constat conduit inévitablement à la conclusion que la privation de liberté du requérant en exécution de la </w:t>
      </w:r>
      <w:r w:rsidR="009474DE">
        <w:rPr>
          <w:lang w:val="fr-FR"/>
        </w:rPr>
        <w:t>décision</w:t>
      </w:r>
      <w:r w:rsidR="00BC3263">
        <w:rPr>
          <w:lang w:val="fr-FR"/>
        </w:rPr>
        <w:t xml:space="preserve"> prise</w:t>
      </w:r>
      <w:r w:rsidR="00E937BB" w:rsidRPr="008F309E">
        <w:rPr>
          <w:lang w:val="fr-FR"/>
        </w:rPr>
        <w:t xml:space="preserve"> dans le cadre de cette procédure </w:t>
      </w:r>
      <w:r w:rsidR="00DC6EB7" w:rsidRPr="007501D0">
        <w:rPr>
          <w:lang w:val="fr-FR"/>
        </w:rPr>
        <w:t xml:space="preserve">était arbitraire et </w:t>
      </w:r>
      <w:r w:rsidR="00271C69" w:rsidRPr="007501D0">
        <w:rPr>
          <w:lang w:val="fr-FR"/>
        </w:rPr>
        <w:t>donc également</w:t>
      </w:r>
      <w:r w:rsidR="00D05235" w:rsidRPr="00D05235">
        <w:rPr>
          <w:lang w:val="fr-FR"/>
        </w:rPr>
        <w:t xml:space="preserve"> </w:t>
      </w:r>
      <w:r w:rsidR="00D05235" w:rsidRPr="007501D0">
        <w:rPr>
          <w:lang w:val="fr-FR"/>
        </w:rPr>
        <w:t>contraire</w:t>
      </w:r>
      <w:r w:rsidR="00271C69" w:rsidRPr="007501D0">
        <w:rPr>
          <w:lang w:val="fr-FR"/>
        </w:rPr>
        <w:t xml:space="preserve"> à</w:t>
      </w:r>
      <w:r w:rsidR="00E937BB" w:rsidRPr="008F309E">
        <w:rPr>
          <w:lang w:val="fr-FR"/>
        </w:rPr>
        <w:t xml:space="preserve"> l</w:t>
      </w:r>
      <w:r w:rsidR="00162789">
        <w:rPr>
          <w:lang w:val="fr-FR"/>
        </w:rPr>
        <w:t>’</w:t>
      </w:r>
      <w:r w:rsidR="00E937BB" w:rsidRPr="008F309E">
        <w:rPr>
          <w:lang w:val="fr-FR"/>
        </w:rPr>
        <w:t xml:space="preserve">article 5 § 1 a) de la Convention (voir, </w:t>
      </w:r>
      <w:r w:rsidR="00E937BB" w:rsidRPr="008F309E">
        <w:rPr>
          <w:i/>
          <w:lang w:val="fr-FR"/>
        </w:rPr>
        <w:t>mutatis mutandis</w:t>
      </w:r>
      <w:r w:rsidR="00E937BB" w:rsidRPr="008F309E">
        <w:rPr>
          <w:lang w:val="fr-FR"/>
        </w:rPr>
        <w:t xml:space="preserve">, </w:t>
      </w:r>
      <w:r w:rsidR="00E937BB" w:rsidRPr="008F309E">
        <w:rPr>
          <w:i/>
          <w:lang w:val="fr-FR"/>
        </w:rPr>
        <w:t>Stoichkov</w:t>
      </w:r>
      <w:r w:rsidR="00E937BB" w:rsidRPr="008F309E">
        <w:rPr>
          <w:lang w:val="fr-FR"/>
        </w:rPr>
        <w:t>,</w:t>
      </w:r>
      <w:r w:rsidR="00E937BB" w:rsidRPr="008F309E">
        <w:rPr>
          <w:i/>
          <w:lang w:val="fr-FR"/>
        </w:rPr>
        <w:t xml:space="preserve"> </w:t>
      </w:r>
      <w:r w:rsidR="00E937BB" w:rsidRPr="008F309E">
        <w:rPr>
          <w:lang w:val="fr-FR"/>
        </w:rPr>
        <w:t>précité, § 53).</w:t>
      </w:r>
      <w:r w:rsidR="002705D9" w:rsidRPr="008F309E">
        <w:rPr>
          <w:lang w:val="fr-FR"/>
        </w:rPr>
        <w:t xml:space="preserve"> Peu importe que, comme l</w:t>
      </w:r>
      <w:r w:rsidR="00162789">
        <w:rPr>
          <w:lang w:val="fr-FR"/>
        </w:rPr>
        <w:t>’</w:t>
      </w:r>
      <w:r w:rsidRPr="008F309E">
        <w:rPr>
          <w:lang w:val="fr-FR"/>
        </w:rPr>
        <w:t>affirme</w:t>
      </w:r>
      <w:r w:rsidR="002705D9" w:rsidRPr="008F309E">
        <w:rPr>
          <w:lang w:val="fr-FR"/>
        </w:rPr>
        <w:t xml:space="preserve"> le Gouvernement (paragraphe </w:t>
      </w:r>
      <w:r w:rsidR="007501D0">
        <w:rPr>
          <w:noProof/>
          <w:lang w:val="fr-FR"/>
        </w:rPr>
        <w:t>110</w:t>
      </w:r>
      <w:r w:rsidR="002705D9" w:rsidRPr="008F309E">
        <w:rPr>
          <w:lang w:val="fr-FR"/>
        </w:rPr>
        <w:t xml:space="preserve"> ci-dessus), le déni flagrant de justice dont le requérant a été victime ait été </w:t>
      </w:r>
      <w:r w:rsidRPr="008F309E">
        <w:rPr>
          <w:lang w:val="fr-FR"/>
        </w:rPr>
        <w:t>fondé</w:t>
      </w:r>
      <w:r w:rsidR="002705D9" w:rsidRPr="008F309E">
        <w:rPr>
          <w:rFonts w:eastAsiaTheme="minorHAnsi"/>
          <w:lang w:val="fr-FR"/>
        </w:rPr>
        <w:t xml:space="preserve"> </w:t>
      </w:r>
      <w:r w:rsidRPr="008F309E">
        <w:rPr>
          <w:rFonts w:eastAsiaTheme="minorHAnsi"/>
          <w:lang w:val="fr-FR"/>
        </w:rPr>
        <w:t xml:space="preserve">sur </w:t>
      </w:r>
      <w:r w:rsidR="002705D9" w:rsidRPr="008F309E">
        <w:rPr>
          <w:rFonts w:eastAsiaTheme="minorHAnsi"/>
          <w:lang w:val="fr-FR"/>
        </w:rPr>
        <w:t>la jurisprudence suivie à l</w:t>
      </w:r>
      <w:r w:rsidR="00162789">
        <w:rPr>
          <w:rFonts w:eastAsiaTheme="minorHAnsi"/>
          <w:lang w:val="fr-FR"/>
        </w:rPr>
        <w:t>’</w:t>
      </w:r>
      <w:r w:rsidR="002705D9" w:rsidRPr="008F309E">
        <w:rPr>
          <w:rFonts w:eastAsiaTheme="minorHAnsi"/>
          <w:lang w:val="fr-FR"/>
        </w:rPr>
        <w:t>époque</w:t>
      </w:r>
      <w:r w:rsidRPr="008F309E">
        <w:rPr>
          <w:rFonts w:eastAsiaTheme="minorHAnsi"/>
          <w:lang w:val="fr-FR"/>
        </w:rPr>
        <w:t xml:space="preserve"> par les juridictions italiennes</w:t>
      </w:r>
      <w:r w:rsidR="002705D9" w:rsidRPr="008F309E">
        <w:rPr>
          <w:rFonts w:eastAsiaTheme="minorHAnsi"/>
          <w:lang w:val="fr-FR"/>
        </w:rPr>
        <w:t>.</w:t>
      </w:r>
    </w:p>
    <w:p w:rsidR="004913D7" w:rsidRPr="008F309E" w:rsidRDefault="002705D9" w:rsidP="001D7EC0">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118</w:t>
      </w:r>
      <w:r w:rsidRPr="008F309E">
        <w:rPr>
          <w:lang w:val="fr-FR"/>
        </w:rPr>
        <w:fldChar w:fldCharType="end"/>
      </w:r>
      <w:r w:rsidRPr="008F309E">
        <w:rPr>
          <w:lang w:val="fr-FR"/>
        </w:rPr>
        <w:t xml:space="preserve">.  Il est vrai que par la suite, la Cour de cassation a accepté de rouvrir le délai pour interjeter appel (paragraphe </w:t>
      </w:r>
      <w:r w:rsidR="007501D0">
        <w:rPr>
          <w:noProof/>
          <w:lang w:val="fr-FR"/>
        </w:rPr>
        <w:t>37</w:t>
      </w:r>
      <w:r w:rsidRPr="008F309E">
        <w:rPr>
          <w:lang w:val="fr-FR"/>
        </w:rPr>
        <w:t xml:space="preserve"> ci-dessus)</w:t>
      </w:r>
      <w:r w:rsidR="00636A39" w:rsidRPr="008F309E">
        <w:rPr>
          <w:lang w:val="fr-FR"/>
        </w:rPr>
        <w:t>,</w:t>
      </w:r>
      <w:r w:rsidRPr="008F309E">
        <w:rPr>
          <w:lang w:val="fr-FR"/>
        </w:rPr>
        <w:t xml:space="preserve"> et que le requérant a pu obtenir un nouveau procès en sa présence. Cependant, la Cour considère que cette reconnaissance tardive de la violation des droits de l</w:t>
      </w:r>
      <w:r w:rsidR="00162789">
        <w:rPr>
          <w:lang w:val="fr-FR"/>
        </w:rPr>
        <w:t>’</w:t>
      </w:r>
      <w:r w:rsidRPr="008F309E">
        <w:rPr>
          <w:lang w:val="fr-FR"/>
        </w:rPr>
        <w:t>accusé ne saurait fournir une justification a posteriori pour une privation de liberté s</w:t>
      </w:r>
      <w:r w:rsidR="00162789">
        <w:rPr>
          <w:lang w:val="fr-FR"/>
        </w:rPr>
        <w:t>’</w:t>
      </w:r>
      <w:r w:rsidRPr="008F309E">
        <w:rPr>
          <w:lang w:val="fr-FR"/>
        </w:rPr>
        <w:t xml:space="preserve">étant </w:t>
      </w:r>
      <w:r w:rsidR="008B32B3" w:rsidRPr="008F309E">
        <w:rPr>
          <w:lang w:val="fr-FR"/>
        </w:rPr>
        <w:t>étalée sur environ neuf ans et neuf mois.</w:t>
      </w:r>
    </w:p>
    <w:p w:rsidR="005559D3" w:rsidRDefault="008D33F2" w:rsidP="00B960BE">
      <w:pPr>
        <w:pStyle w:val="ECHRPara"/>
        <w:rPr>
          <w:b/>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119</w:t>
      </w:r>
      <w:r w:rsidRPr="008F309E">
        <w:rPr>
          <w:lang w:val="fr-FR"/>
        </w:rPr>
        <w:fldChar w:fldCharType="end"/>
      </w:r>
      <w:r w:rsidR="00E77CB3" w:rsidRPr="008F309E">
        <w:rPr>
          <w:lang w:val="fr-FR"/>
        </w:rPr>
        <w:t>.  </w:t>
      </w:r>
      <w:r w:rsidR="008B32B3" w:rsidRPr="008F309E">
        <w:rPr>
          <w:lang w:val="fr-FR"/>
        </w:rPr>
        <w:t>Il s</w:t>
      </w:r>
      <w:r w:rsidR="00162789">
        <w:rPr>
          <w:lang w:val="fr-FR"/>
        </w:rPr>
        <w:t>’</w:t>
      </w:r>
      <w:r w:rsidR="008B32B3" w:rsidRPr="008F309E">
        <w:rPr>
          <w:lang w:val="fr-FR"/>
        </w:rPr>
        <w:t>ensuit</w:t>
      </w:r>
      <w:r w:rsidR="00E77CB3" w:rsidRPr="008F309E">
        <w:rPr>
          <w:lang w:val="fr-FR"/>
        </w:rPr>
        <w:t xml:space="preserve"> </w:t>
      </w:r>
      <w:r w:rsidR="008B32B3" w:rsidRPr="008F309E">
        <w:rPr>
          <w:lang w:val="fr-FR"/>
        </w:rPr>
        <w:t>qu</w:t>
      </w:r>
      <w:r w:rsidR="00162789">
        <w:rPr>
          <w:lang w:val="fr-FR"/>
        </w:rPr>
        <w:t>’</w:t>
      </w:r>
      <w:r w:rsidR="00636A39" w:rsidRPr="008F309E">
        <w:rPr>
          <w:lang w:val="fr-FR"/>
        </w:rPr>
        <w:t>en l</w:t>
      </w:r>
      <w:r w:rsidR="00162789">
        <w:rPr>
          <w:lang w:val="fr-FR"/>
        </w:rPr>
        <w:t>’</w:t>
      </w:r>
      <w:r w:rsidR="00636A39" w:rsidRPr="008F309E">
        <w:rPr>
          <w:lang w:val="fr-FR"/>
        </w:rPr>
        <w:t xml:space="preserve">espèce il </w:t>
      </w:r>
      <w:r w:rsidR="00E77CB3" w:rsidRPr="008F309E">
        <w:rPr>
          <w:lang w:val="fr-FR"/>
        </w:rPr>
        <w:t>y a eu violation de l</w:t>
      </w:r>
      <w:r w:rsidR="00162789">
        <w:rPr>
          <w:lang w:val="fr-FR"/>
        </w:rPr>
        <w:t>’</w:t>
      </w:r>
      <w:r w:rsidR="00E77CB3" w:rsidRPr="008F309E">
        <w:rPr>
          <w:lang w:val="fr-FR"/>
        </w:rPr>
        <w:t>article</w:t>
      </w:r>
      <w:r w:rsidR="007A6C76">
        <w:rPr>
          <w:lang w:val="fr-FR"/>
        </w:rPr>
        <w:t xml:space="preserve"> </w:t>
      </w:r>
      <w:r w:rsidR="004913D7" w:rsidRPr="008F309E">
        <w:rPr>
          <w:lang w:val="fr-FR"/>
        </w:rPr>
        <w:t>5 § 1</w:t>
      </w:r>
      <w:r w:rsidR="00E77CB3" w:rsidRPr="008F309E">
        <w:rPr>
          <w:lang w:val="fr-FR"/>
        </w:rPr>
        <w:t xml:space="preserve"> de la Convention</w:t>
      </w:r>
      <w:r w:rsidR="004913D7" w:rsidRPr="008F309E">
        <w:rPr>
          <w:lang w:val="fr-FR"/>
        </w:rPr>
        <w:t>.</w:t>
      </w:r>
    </w:p>
    <w:p w:rsidR="00E77CB3" w:rsidRPr="008F309E" w:rsidRDefault="008F5408" w:rsidP="00C63990">
      <w:pPr>
        <w:pStyle w:val="ECHRHeading1"/>
        <w:rPr>
          <w:lang w:val="fr-FR"/>
        </w:rPr>
      </w:pPr>
      <w:r w:rsidRPr="008F309E">
        <w:rPr>
          <w:lang w:val="fr-FR"/>
        </w:rPr>
        <w:t>IV</w:t>
      </w:r>
      <w:r w:rsidR="00E77CB3" w:rsidRPr="008F309E">
        <w:rPr>
          <w:lang w:val="fr-FR"/>
        </w:rPr>
        <w:t>.  SUR L</w:t>
      </w:r>
      <w:r w:rsidR="00162789">
        <w:rPr>
          <w:lang w:val="fr-FR"/>
        </w:rPr>
        <w:t>’</w:t>
      </w:r>
      <w:r w:rsidR="00E77CB3" w:rsidRPr="008F309E">
        <w:rPr>
          <w:lang w:val="fr-FR"/>
        </w:rPr>
        <w:t>APPLICATION DE L</w:t>
      </w:r>
      <w:r w:rsidR="00162789">
        <w:rPr>
          <w:lang w:val="fr-FR"/>
        </w:rPr>
        <w:t>’</w:t>
      </w:r>
      <w:r w:rsidR="00E77CB3" w:rsidRPr="008F309E">
        <w:rPr>
          <w:lang w:val="fr-FR"/>
        </w:rPr>
        <w:t>ARTICLE 41 DE LA CONVENTION</w:t>
      </w:r>
    </w:p>
    <w:p w:rsidR="00E77CB3" w:rsidRPr="008F309E" w:rsidRDefault="002F3727"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51458B">
        <w:rPr>
          <w:noProof/>
          <w:lang w:val="fr-FR"/>
        </w:rPr>
        <w:t>120</w:t>
      </w:r>
      <w:r>
        <w:rPr>
          <w:lang w:val="fr-FR"/>
        </w:rPr>
        <w:fldChar w:fldCharType="end"/>
      </w:r>
      <w:r>
        <w:rPr>
          <w:lang w:val="fr-FR"/>
        </w:rPr>
        <w:t>.  </w:t>
      </w:r>
      <w:r w:rsidR="00E77CB3" w:rsidRPr="008F309E">
        <w:rPr>
          <w:lang w:val="fr-FR"/>
        </w:rPr>
        <w:t>Aux termes de l</w:t>
      </w:r>
      <w:r w:rsidR="00162789">
        <w:rPr>
          <w:lang w:val="fr-FR"/>
        </w:rPr>
        <w:t>’</w:t>
      </w:r>
      <w:r w:rsidR="00E77CB3" w:rsidRPr="008F309E">
        <w:rPr>
          <w:lang w:val="fr-FR"/>
        </w:rPr>
        <w:t>article 41 de la Convention,</w:t>
      </w:r>
    </w:p>
    <w:p w:rsidR="00E77CB3" w:rsidRPr="008F309E" w:rsidRDefault="00E77CB3" w:rsidP="00E77CB3">
      <w:pPr>
        <w:pStyle w:val="ECHRParaQuote"/>
        <w:keepNext/>
        <w:keepLines/>
        <w:rPr>
          <w:lang w:val="fr-FR"/>
        </w:rPr>
      </w:pPr>
      <w:r w:rsidRPr="008F309E">
        <w:rPr>
          <w:lang w:val="fr-FR"/>
        </w:rPr>
        <w:t>« Si la Cour déclare qu</w:t>
      </w:r>
      <w:r w:rsidR="00162789">
        <w:rPr>
          <w:lang w:val="fr-FR"/>
        </w:rPr>
        <w:t>’</w:t>
      </w:r>
      <w:r w:rsidRPr="008F309E">
        <w:rPr>
          <w:lang w:val="fr-FR"/>
        </w:rPr>
        <w:t>il y a eu violation de la Convention ou de ses Protocoles, et si le droit interne de la Haute Partie contractante ne permet d</w:t>
      </w:r>
      <w:r w:rsidR="00162789">
        <w:rPr>
          <w:lang w:val="fr-FR"/>
        </w:rPr>
        <w:t>’</w:t>
      </w:r>
      <w:r w:rsidRPr="008F309E">
        <w:rPr>
          <w:lang w:val="fr-FR"/>
        </w:rPr>
        <w:t>effacer qu</w:t>
      </w:r>
      <w:r w:rsidR="00162789">
        <w:rPr>
          <w:lang w:val="fr-FR"/>
        </w:rPr>
        <w:t>’</w:t>
      </w:r>
      <w:r w:rsidRPr="008F309E">
        <w:rPr>
          <w:lang w:val="fr-FR"/>
        </w:rPr>
        <w:t>imparfaitement les conséquences de cette violation, la Cour accorde à la partie lésée, s</w:t>
      </w:r>
      <w:r w:rsidR="00162789">
        <w:rPr>
          <w:lang w:val="fr-FR"/>
        </w:rPr>
        <w:t>’</w:t>
      </w:r>
      <w:r w:rsidRPr="008F309E">
        <w:rPr>
          <w:lang w:val="fr-FR"/>
        </w:rPr>
        <w:t>il y a lieu, une satisfaction équitable. »</w:t>
      </w:r>
    </w:p>
    <w:p w:rsidR="00E77CB3" w:rsidRPr="009A795C" w:rsidRDefault="00E77CB3" w:rsidP="009A795C">
      <w:pPr>
        <w:pStyle w:val="ECHRHeading2"/>
      </w:pPr>
      <w:r w:rsidRPr="008F309E">
        <w:rPr>
          <w:lang w:val="fr-FR"/>
        </w:rPr>
        <w:t>A.  Dommage</w:t>
      </w:r>
    </w:p>
    <w:p w:rsidR="00EA2BEB" w:rsidRPr="008F309E" w:rsidRDefault="008D33F2"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121</w:t>
      </w:r>
      <w:r w:rsidRPr="008F309E">
        <w:rPr>
          <w:lang w:val="fr-FR"/>
        </w:rPr>
        <w:fldChar w:fldCharType="end"/>
      </w:r>
      <w:r w:rsidR="00E77CB3" w:rsidRPr="008F309E">
        <w:rPr>
          <w:lang w:val="fr-FR"/>
        </w:rPr>
        <w:t>.  </w:t>
      </w:r>
      <w:r w:rsidR="00EA2BEB" w:rsidRPr="008F309E">
        <w:rPr>
          <w:lang w:val="fr-FR"/>
        </w:rPr>
        <w:t>Le requérant réclame 150 000 euros (EUR) au titre du préjudice qu</w:t>
      </w:r>
      <w:r w:rsidR="00162789">
        <w:rPr>
          <w:lang w:val="fr-FR"/>
        </w:rPr>
        <w:t>’</w:t>
      </w:r>
      <w:r w:rsidR="00EA2BEB" w:rsidRPr="008F309E">
        <w:rPr>
          <w:lang w:val="fr-FR"/>
        </w:rPr>
        <w:t>il aurait subi. Il observe que la réouverture de son procès et la possibilité d</w:t>
      </w:r>
      <w:r w:rsidR="00162789">
        <w:rPr>
          <w:lang w:val="fr-FR"/>
        </w:rPr>
        <w:t>’</w:t>
      </w:r>
      <w:r w:rsidR="00EA2BEB" w:rsidRPr="008F309E">
        <w:rPr>
          <w:lang w:val="fr-FR"/>
        </w:rPr>
        <w:t xml:space="preserve">introduire une demande en réparation pour détention « injuste » ne sont pas susceptibles de lui offrir une </w:t>
      </w:r>
      <w:r w:rsidR="00EA2BEB" w:rsidRPr="008F309E">
        <w:rPr>
          <w:i/>
          <w:lang w:val="fr-FR"/>
        </w:rPr>
        <w:t>restitutio in integrum</w:t>
      </w:r>
      <w:r w:rsidR="00EA2BEB" w:rsidRPr="008F309E">
        <w:rPr>
          <w:lang w:val="fr-FR"/>
        </w:rPr>
        <w:t>. Il note à cet égard que les violations dénoncées se sont étalées sur une durée de 14 ans et qu</w:t>
      </w:r>
      <w:r w:rsidR="00162789">
        <w:rPr>
          <w:lang w:val="fr-FR"/>
        </w:rPr>
        <w:t>’</w:t>
      </w:r>
      <w:r w:rsidR="00EA2BEB" w:rsidRPr="008F309E">
        <w:rPr>
          <w:lang w:val="fr-FR"/>
        </w:rPr>
        <w:t xml:space="preserve">il est âgé de plus de 60 ans. Pendant </w:t>
      </w:r>
      <w:r w:rsidR="008D488E" w:rsidRPr="008F309E">
        <w:rPr>
          <w:lang w:val="fr-FR"/>
        </w:rPr>
        <w:t>sa</w:t>
      </w:r>
      <w:r w:rsidR="00EA2BEB" w:rsidRPr="008F309E">
        <w:rPr>
          <w:lang w:val="fr-FR"/>
        </w:rPr>
        <w:t xml:space="preserve"> détention, il a été </w:t>
      </w:r>
      <w:r w:rsidR="00EA2BEB" w:rsidRPr="008F309E">
        <w:rPr>
          <w:i/>
          <w:lang w:val="fr-FR"/>
        </w:rPr>
        <w:t>de facto</w:t>
      </w:r>
      <w:r w:rsidR="00EA2BEB" w:rsidRPr="008F309E">
        <w:rPr>
          <w:lang w:val="fr-FR"/>
        </w:rPr>
        <w:t xml:space="preserve"> impossible, pour le requérant, de garder des contacts avec sa famille. L</w:t>
      </w:r>
      <w:r w:rsidR="00162789">
        <w:rPr>
          <w:lang w:val="fr-FR"/>
        </w:rPr>
        <w:t>’</w:t>
      </w:r>
      <w:r w:rsidR="00EA2BEB" w:rsidRPr="008F309E">
        <w:rPr>
          <w:lang w:val="fr-FR"/>
        </w:rPr>
        <w:t xml:space="preserve">épouse du requérant a demandé le divorce et ses liens avec ses trois enfants se sont inévitablement </w:t>
      </w:r>
      <w:r w:rsidR="00763FFE">
        <w:rPr>
          <w:lang w:val="fr-FR"/>
        </w:rPr>
        <w:t>relâchés</w:t>
      </w:r>
      <w:r w:rsidR="00EA2BEB" w:rsidRPr="008F309E">
        <w:rPr>
          <w:lang w:val="fr-FR"/>
        </w:rPr>
        <w:t>. De plus, l</w:t>
      </w:r>
      <w:r w:rsidR="00162789">
        <w:rPr>
          <w:lang w:val="fr-FR"/>
        </w:rPr>
        <w:t>’</w:t>
      </w:r>
      <w:r w:rsidR="00EA2BEB" w:rsidRPr="008F309E">
        <w:rPr>
          <w:lang w:val="fr-FR"/>
        </w:rPr>
        <w:t>intéressé n</w:t>
      </w:r>
      <w:r w:rsidR="00162789">
        <w:rPr>
          <w:lang w:val="fr-FR"/>
        </w:rPr>
        <w:t>’</w:t>
      </w:r>
      <w:r w:rsidR="00EA2BEB" w:rsidRPr="008F309E">
        <w:rPr>
          <w:lang w:val="fr-FR"/>
        </w:rPr>
        <w:t>a pas pu aider et conforter son frère, atteint d</w:t>
      </w:r>
      <w:r w:rsidR="00162789">
        <w:rPr>
          <w:lang w:val="fr-FR"/>
        </w:rPr>
        <w:t>’</w:t>
      </w:r>
      <w:r w:rsidR="00EA2BEB" w:rsidRPr="008F309E">
        <w:rPr>
          <w:lang w:val="fr-FR"/>
        </w:rPr>
        <w:t xml:space="preserve">un cancer. </w:t>
      </w:r>
      <w:r w:rsidR="008D488E" w:rsidRPr="008F309E">
        <w:rPr>
          <w:lang w:val="fr-FR"/>
        </w:rPr>
        <w:t>Compte tenu</w:t>
      </w:r>
      <w:r w:rsidR="00EA2BEB" w:rsidRPr="008F309E">
        <w:rPr>
          <w:lang w:val="fr-FR"/>
        </w:rPr>
        <w:t xml:space="preserve"> de l</w:t>
      </w:r>
      <w:r w:rsidR="00162789">
        <w:rPr>
          <w:lang w:val="fr-FR"/>
        </w:rPr>
        <w:t>’</w:t>
      </w:r>
      <w:r w:rsidR="00EA2BEB" w:rsidRPr="008F309E">
        <w:rPr>
          <w:lang w:val="fr-FR"/>
        </w:rPr>
        <w:t>âge du requérant et de sa longue détention, ses possibilités de réinsertion sociale sont très réduites</w:t>
      </w:r>
      <w:r w:rsidR="002B3561" w:rsidRPr="008F309E">
        <w:rPr>
          <w:lang w:val="fr-FR"/>
        </w:rPr>
        <w:t>.</w:t>
      </w:r>
    </w:p>
    <w:p w:rsidR="005559D3"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122</w:t>
      </w:r>
      <w:r w:rsidRPr="008F309E">
        <w:rPr>
          <w:lang w:val="fr-FR"/>
        </w:rPr>
        <w:fldChar w:fldCharType="end"/>
      </w:r>
      <w:r w:rsidRPr="008F309E">
        <w:rPr>
          <w:lang w:val="fr-FR"/>
        </w:rPr>
        <w:t>.  Le Gouvernement note que le préjudice allégué par le requérant est directement lié à la durée de sa privation de liberté. Cependant, ce type de préjudice doit d</w:t>
      </w:r>
      <w:r w:rsidR="00162789">
        <w:rPr>
          <w:lang w:val="fr-FR"/>
        </w:rPr>
        <w:t>’</w:t>
      </w:r>
      <w:r w:rsidRPr="008F309E">
        <w:rPr>
          <w:lang w:val="fr-FR"/>
        </w:rPr>
        <w:t xml:space="preserve">abord être évalué par les juridictions internes dans le cadre du </w:t>
      </w:r>
      <w:r w:rsidR="00A7405B">
        <w:rPr>
          <w:lang w:val="fr-FR"/>
        </w:rPr>
        <w:t>recours</w:t>
      </w:r>
      <w:r w:rsidRPr="008F309E">
        <w:rPr>
          <w:lang w:val="fr-FR"/>
        </w:rPr>
        <w:t xml:space="preserve"> prévu par l</w:t>
      </w:r>
      <w:r w:rsidR="00162789">
        <w:rPr>
          <w:lang w:val="fr-FR"/>
        </w:rPr>
        <w:t>’</w:t>
      </w:r>
      <w:r w:rsidRPr="008F309E">
        <w:rPr>
          <w:lang w:val="fr-FR"/>
        </w:rPr>
        <w:t>article 314 du CPP. Le requérant a par ailleurs déjà obtenu un nouveau procès en sa présence et – de manière paradoxale – la longueur de ses vicissitudes judiciaires a conduit à une solution favorable pour l</w:t>
      </w:r>
      <w:r w:rsidR="00162789">
        <w:rPr>
          <w:lang w:val="fr-FR"/>
        </w:rPr>
        <w:t>’</w:t>
      </w:r>
      <w:r w:rsidRPr="008F309E">
        <w:rPr>
          <w:lang w:val="fr-FR"/>
        </w:rPr>
        <w:t xml:space="preserve">intéressé, </w:t>
      </w:r>
      <w:r w:rsidR="008D488E" w:rsidRPr="008F309E">
        <w:rPr>
          <w:lang w:val="fr-FR"/>
        </w:rPr>
        <w:t>à savoir le</w:t>
      </w:r>
      <w:r w:rsidRPr="008F309E">
        <w:rPr>
          <w:lang w:val="fr-FR"/>
        </w:rPr>
        <w:t xml:space="preserve"> prononcé </w:t>
      </w:r>
      <w:r w:rsidR="008D488E" w:rsidRPr="008F309E">
        <w:rPr>
          <w:lang w:val="fr-FR"/>
        </w:rPr>
        <w:t>d</w:t>
      </w:r>
      <w:r w:rsidR="00162789">
        <w:rPr>
          <w:lang w:val="fr-FR"/>
        </w:rPr>
        <w:t>’</w:t>
      </w:r>
      <w:r w:rsidRPr="008F309E">
        <w:rPr>
          <w:lang w:val="fr-FR"/>
        </w:rPr>
        <w:t xml:space="preserve">un non-lieu pour cause de prescription (paragraphe </w:t>
      </w:r>
      <w:r w:rsidR="007501D0">
        <w:rPr>
          <w:noProof/>
          <w:lang w:val="fr-FR"/>
        </w:rPr>
        <w:t>46</w:t>
      </w:r>
      <w:r w:rsidRPr="008F309E">
        <w:rPr>
          <w:lang w:val="fr-FR"/>
        </w:rPr>
        <w:t xml:space="preserve"> ci-dessus). </w:t>
      </w:r>
      <w:r w:rsidR="008D488E" w:rsidRPr="008F309E">
        <w:rPr>
          <w:lang w:val="fr-FR"/>
        </w:rPr>
        <w:t>En outre</w:t>
      </w:r>
      <w:r w:rsidRPr="008F309E">
        <w:rPr>
          <w:lang w:val="fr-FR"/>
        </w:rPr>
        <w:t>, le requérant n</w:t>
      </w:r>
      <w:r w:rsidR="00162789">
        <w:rPr>
          <w:lang w:val="fr-FR"/>
        </w:rPr>
        <w:t>’</w:t>
      </w:r>
      <w:r w:rsidRPr="008F309E">
        <w:rPr>
          <w:lang w:val="fr-FR"/>
        </w:rPr>
        <w:t>aurait pas étayé sa demande de satisfaction équitable et n</w:t>
      </w:r>
      <w:r w:rsidR="00162789">
        <w:rPr>
          <w:lang w:val="fr-FR"/>
        </w:rPr>
        <w:t>’</w:t>
      </w:r>
      <w:r w:rsidRPr="008F309E">
        <w:rPr>
          <w:lang w:val="fr-FR"/>
        </w:rPr>
        <w:t>aurait pas démontré l</w:t>
      </w:r>
      <w:r w:rsidR="00162789">
        <w:rPr>
          <w:lang w:val="fr-FR"/>
        </w:rPr>
        <w:t>’</w:t>
      </w:r>
      <w:r w:rsidRPr="008F309E">
        <w:rPr>
          <w:lang w:val="fr-FR"/>
        </w:rPr>
        <w:t>existence d</w:t>
      </w:r>
      <w:r w:rsidR="00162789">
        <w:rPr>
          <w:lang w:val="fr-FR"/>
        </w:rPr>
        <w:t>’</w:t>
      </w:r>
      <w:r w:rsidRPr="008F309E">
        <w:rPr>
          <w:lang w:val="fr-FR"/>
        </w:rPr>
        <w:t>un lien de causalité entre les violations dénoncées et le préjudice qu</w:t>
      </w:r>
      <w:r w:rsidR="00162789">
        <w:rPr>
          <w:lang w:val="fr-FR"/>
        </w:rPr>
        <w:t>’</w:t>
      </w:r>
      <w:r w:rsidRPr="008F309E">
        <w:rPr>
          <w:lang w:val="fr-FR"/>
        </w:rPr>
        <w:t>il affirme avoir subi.</w:t>
      </w:r>
    </w:p>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123</w:t>
      </w:r>
      <w:r w:rsidRPr="008F309E">
        <w:rPr>
          <w:lang w:val="fr-FR"/>
        </w:rPr>
        <w:fldChar w:fldCharType="end"/>
      </w:r>
      <w:r w:rsidRPr="008F309E">
        <w:rPr>
          <w:lang w:val="fr-FR"/>
        </w:rPr>
        <w:t>.  </w:t>
      </w:r>
      <w:r w:rsidR="002B3561" w:rsidRPr="008F309E">
        <w:rPr>
          <w:lang w:val="fr-FR"/>
        </w:rPr>
        <w:t>Dans les circonstances particulières de l</w:t>
      </w:r>
      <w:r w:rsidR="00162789">
        <w:rPr>
          <w:lang w:val="fr-FR"/>
        </w:rPr>
        <w:t>’</w:t>
      </w:r>
      <w:r w:rsidR="008D488E" w:rsidRPr="008F309E">
        <w:rPr>
          <w:lang w:val="fr-FR"/>
        </w:rPr>
        <w:t>espèce</w:t>
      </w:r>
      <w:r w:rsidR="002B3561" w:rsidRPr="008F309E">
        <w:rPr>
          <w:lang w:val="fr-FR"/>
        </w:rPr>
        <w:t>, la Cour estime que tout préjudice moral subi par le requérant se trouve suffisamment réparé par le constat de violation de l</w:t>
      </w:r>
      <w:r w:rsidR="00162789">
        <w:rPr>
          <w:lang w:val="fr-FR"/>
        </w:rPr>
        <w:t>’</w:t>
      </w:r>
      <w:r w:rsidR="002B3561" w:rsidRPr="008F309E">
        <w:rPr>
          <w:lang w:val="fr-FR"/>
        </w:rPr>
        <w:t>article 5 § 1 de la Convention</w:t>
      </w:r>
      <w:r w:rsidRPr="008F309E">
        <w:rPr>
          <w:lang w:val="fr-FR"/>
        </w:rPr>
        <w:t>.</w:t>
      </w:r>
    </w:p>
    <w:p w:rsidR="00E77CB3" w:rsidRPr="008F309E" w:rsidRDefault="00E77CB3" w:rsidP="00EA2BEB">
      <w:pPr>
        <w:pStyle w:val="ECHRHeading2"/>
        <w:rPr>
          <w:lang w:val="fr-FR"/>
        </w:rPr>
      </w:pPr>
      <w:r w:rsidRPr="008F309E">
        <w:rPr>
          <w:lang w:val="fr-FR"/>
        </w:rPr>
        <w:t>B.  Frais et dépens</w:t>
      </w:r>
    </w:p>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124</w:t>
      </w:r>
      <w:r w:rsidRPr="008F309E">
        <w:rPr>
          <w:lang w:val="fr-FR"/>
        </w:rPr>
        <w:fldChar w:fldCharType="end"/>
      </w:r>
      <w:r w:rsidRPr="008F309E">
        <w:rPr>
          <w:lang w:val="fr-FR"/>
        </w:rPr>
        <w:t>.  Le requérant observe que les frais de la procédure nationale ont été pris en charge par l</w:t>
      </w:r>
      <w:r w:rsidR="00162789">
        <w:rPr>
          <w:lang w:val="fr-FR"/>
        </w:rPr>
        <w:t>’</w:t>
      </w:r>
      <w:r w:rsidRPr="008F309E">
        <w:rPr>
          <w:lang w:val="fr-FR"/>
        </w:rPr>
        <w:t xml:space="preserve">État italien. Quant à la procédure devant la Cour, </w:t>
      </w:r>
      <w:r w:rsidR="008D488E" w:rsidRPr="008F309E">
        <w:rPr>
          <w:lang w:val="fr-FR"/>
        </w:rPr>
        <w:t>compte tenu</w:t>
      </w:r>
      <w:r w:rsidRPr="008F309E">
        <w:rPr>
          <w:lang w:val="fr-FR"/>
        </w:rPr>
        <w:t xml:space="preserve"> de la situation financière précaire d</w:t>
      </w:r>
      <w:r w:rsidR="008D488E" w:rsidRPr="008F309E">
        <w:rPr>
          <w:lang w:val="fr-FR"/>
        </w:rPr>
        <w:t>u requérant</w:t>
      </w:r>
      <w:r w:rsidRPr="008F309E">
        <w:rPr>
          <w:lang w:val="fr-FR"/>
        </w:rPr>
        <w:t xml:space="preserve">, son représentant ne lui a pas facturé ses services. Ledit représentant, qui a reçu </w:t>
      </w:r>
      <w:r w:rsidR="002E3C1F" w:rsidRPr="008F309E">
        <w:rPr>
          <w:lang w:val="fr-FR"/>
        </w:rPr>
        <w:t>850</w:t>
      </w:r>
      <w:r w:rsidRPr="008F309E">
        <w:rPr>
          <w:lang w:val="fr-FR"/>
        </w:rPr>
        <w:t xml:space="preserve"> EUR au titre de l</w:t>
      </w:r>
      <w:r w:rsidR="00162789">
        <w:rPr>
          <w:lang w:val="fr-FR"/>
        </w:rPr>
        <w:t>’</w:t>
      </w:r>
      <w:r w:rsidRPr="008F309E">
        <w:rPr>
          <w:lang w:val="fr-FR"/>
        </w:rPr>
        <w:t>assistance judiciaire devant la Cour, se remet à la sagesse de cette dernière quant à la question de savoir s</w:t>
      </w:r>
      <w:r w:rsidR="00162789">
        <w:rPr>
          <w:lang w:val="fr-FR"/>
        </w:rPr>
        <w:t>’</w:t>
      </w:r>
      <w:r w:rsidRPr="008F309E">
        <w:rPr>
          <w:lang w:val="fr-FR"/>
        </w:rPr>
        <w:t>il y a lieu de rémunérer ultérieurement son travail.</w:t>
      </w:r>
    </w:p>
    <w:p w:rsidR="00EA2BEB"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125</w:t>
      </w:r>
      <w:r w:rsidRPr="008F309E">
        <w:rPr>
          <w:lang w:val="fr-FR"/>
        </w:rPr>
        <w:fldChar w:fldCharType="end"/>
      </w:r>
      <w:r w:rsidRPr="008F309E">
        <w:rPr>
          <w:lang w:val="fr-FR"/>
        </w:rPr>
        <w:t>.  Le Gouvernement n</w:t>
      </w:r>
      <w:r w:rsidR="00162789">
        <w:rPr>
          <w:lang w:val="fr-FR"/>
        </w:rPr>
        <w:t>’</w:t>
      </w:r>
      <w:r w:rsidRPr="008F309E">
        <w:rPr>
          <w:lang w:val="fr-FR"/>
        </w:rPr>
        <w:t>a pas présenté d</w:t>
      </w:r>
      <w:r w:rsidR="00162789">
        <w:rPr>
          <w:lang w:val="fr-FR"/>
        </w:rPr>
        <w:t>’</w:t>
      </w:r>
      <w:r w:rsidRPr="008F309E">
        <w:rPr>
          <w:lang w:val="fr-FR"/>
        </w:rPr>
        <w:t>observations sur ce point.</w:t>
      </w:r>
    </w:p>
    <w:p w:rsidR="00E77CB3" w:rsidRPr="008F309E" w:rsidRDefault="00EA2BEB" w:rsidP="00EA2BEB">
      <w:pPr>
        <w:pStyle w:val="ECHRPara"/>
        <w:rPr>
          <w:lang w:val="fr-FR"/>
        </w:rPr>
      </w:pPr>
      <w:r w:rsidRPr="008F309E">
        <w:rPr>
          <w:lang w:val="fr-FR"/>
        </w:rPr>
        <w:fldChar w:fldCharType="begin"/>
      </w:r>
      <w:r w:rsidRPr="008F309E">
        <w:rPr>
          <w:lang w:val="fr-FR"/>
        </w:rPr>
        <w:instrText xml:space="preserve"> SEQ level0 \*arabic </w:instrText>
      </w:r>
      <w:r w:rsidRPr="008F309E">
        <w:rPr>
          <w:lang w:val="fr-FR"/>
        </w:rPr>
        <w:fldChar w:fldCharType="separate"/>
      </w:r>
      <w:r w:rsidR="0051458B">
        <w:rPr>
          <w:noProof/>
          <w:lang w:val="fr-FR"/>
        </w:rPr>
        <w:t>126</w:t>
      </w:r>
      <w:r w:rsidRPr="008F309E">
        <w:rPr>
          <w:lang w:val="fr-FR"/>
        </w:rPr>
        <w:fldChar w:fldCharType="end"/>
      </w:r>
      <w:r w:rsidRPr="008F309E">
        <w:rPr>
          <w:lang w:val="fr-FR"/>
        </w:rPr>
        <w:t>.  Selon la jurisprudence de la Cour, un requérant ne peut obtenir le remboursement de ses frais et dépens que dans la mesure où se trouvent établis leur réalité, leur nécessité et le caractère raisonnable de leur taux. En l</w:t>
      </w:r>
      <w:r w:rsidR="00162789">
        <w:rPr>
          <w:lang w:val="fr-FR"/>
        </w:rPr>
        <w:t>’</w:t>
      </w:r>
      <w:r w:rsidRPr="008F309E">
        <w:rPr>
          <w:lang w:val="fr-FR"/>
        </w:rPr>
        <w:t xml:space="preserve">espèce, compte tenu des documents dont elle dispose et de sa jurisprudence, la Cour </w:t>
      </w:r>
      <w:r w:rsidR="00C8225D" w:rsidRPr="008F309E">
        <w:rPr>
          <w:lang w:val="fr-FR"/>
        </w:rPr>
        <w:t>estime raisonnable d</w:t>
      </w:r>
      <w:r w:rsidR="00162789">
        <w:rPr>
          <w:lang w:val="fr-FR"/>
        </w:rPr>
        <w:t>’</w:t>
      </w:r>
      <w:r w:rsidR="00C8225D" w:rsidRPr="008F309E">
        <w:rPr>
          <w:lang w:val="fr-FR"/>
        </w:rPr>
        <w:t>accorder au requérant la somme de 5 000 EUR pour la procédure devant elle, moins le montant versé par le Conseil de l</w:t>
      </w:r>
      <w:r w:rsidR="00162789">
        <w:rPr>
          <w:lang w:val="fr-FR"/>
        </w:rPr>
        <w:t>’</w:t>
      </w:r>
      <w:r w:rsidR="00C8225D" w:rsidRPr="008F309E">
        <w:rPr>
          <w:lang w:val="fr-FR"/>
        </w:rPr>
        <w:t>Europe au titre de l</w:t>
      </w:r>
      <w:r w:rsidR="00162789">
        <w:rPr>
          <w:lang w:val="fr-FR"/>
        </w:rPr>
        <w:t>’</w:t>
      </w:r>
      <w:r w:rsidR="00C8225D" w:rsidRPr="008F309E">
        <w:rPr>
          <w:lang w:val="fr-FR"/>
        </w:rPr>
        <w:t>assistance judiciaire, à savoir 850 EUR</w:t>
      </w:r>
      <w:r w:rsidRPr="008F309E">
        <w:rPr>
          <w:lang w:val="fr-FR"/>
        </w:rPr>
        <w:t>.</w:t>
      </w:r>
    </w:p>
    <w:p w:rsidR="00E77CB3" w:rsidRPr="009A795C" w:rsidRDefault="00E77CB3" w:rsidP="009A795C">
      <w:pPr>
        <w:pStyle w:val="ECHRHeading2"/>
      </w:pPr>
      <w:r w:rsidRPr="008F309E">
        <w:rPr>
          <w:lang w:val="fr-FR"/>
        </w:rPr>
        <w:t>C.  Intérêts moratoires</w:t>
      </w:r>
    </w:p>
    <w:p w:rsidR="00E77CB3" w:rsidRPr="008F309E" w:rsidRDefault="00BC4F70"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51458B">
        <w:rPr>
          <w:noProof/>
          <w:lang w:val="fr-FR"/>
        </w:rPr>
        <w:t>127</w:t>
      </w:r>
      <w:r>
        <w:rPr>
          <w:lang w:val="fr-FR"/>
        </w:rPr>
        <w:fldChar w:fldCharType="end"/>
      </w:r>
      <w:r>
        <w:rPr>
          <w:lang w:val="fr-FR"/>
        </w:rPr>
        <w:t>.  </w:t>
      </w:r>
      <w:r w:rsidR="00E77CB3" w:rsidRPr="008F309E">
        <w:rPr>
          <w:lang w:val="fr-FR"/>
        </w:rPr>
        <w:t>La Cour juge approprié de calquer le taux des intérêts moratoires sur le taux d</w:t>
      </w:r>
      <w:r w:rsidR="00162789">
        <w:rPr>
          <w:lang w:val="fr-FR"/>
        </w:rPr>
        <w:t>’</w:t>
      </w:r>
      <w:r w:rsidR="00E77CB3" w:rsidRPr="008F309E">
        <w:rPr>
          <w:lang w:val="fr-FR"/>
        </w:rPr>
        <w:t>intérêt de la facilité de prêt marginal de la Banque centrale européenne majoré de trois points de pourcentage.</w:t>
      </w:r>
    </w:p>
    <w:p w:rsidR="00E77CB3" w:rsidRPr="008F309E" w:rsidRDefault="00E77CB3" w:rsidP="00E77CB3">
      <w:pPr>
        <w:pStyle w:val="ECHRTitle1"/>
        <w:rPr>
          <w:lang w:val="fr-FR"/>
        </w:rPr>
      </w:pPr>
      <w:r w:rsidRPr="008F309E">
        <w:rPr>
          <w:lang w:val="fr-FR"/>
        </w:rPr>
        <w:t>PAR CES MOTIFS, LA COUR</w:t>
      </w:r>
      <w:r w:rsidR="008D33F2" w:rsidRPr="008F309E">
        <w:rPr>
          <w:lang w:val="fr-FR"/>
        </w:rPr>
        <w:t>, À L</w:t>
      </w:r>
      <w:r w:rsidR="00162789">
        <w:rPr>
          <w:lang w:val="fr-FR"/>
        </w:rPr>
        <w:t>’</w:t>
      </w:r>
      <w:r w:rsidR="008D33F2" w:rsidRPr="008F309E">
        <w:rPr>
          <w:lang w:val="fr-FR"/>
        </w:rPr>
        <w:t>UNANIMITÉ,</w:t>
      </w:r>
    </w:p>
    <w:p w:rsidR="00E77CB3" w:rsidRPr="008F309E" w:rsidRDefault="008D33F2" w:rsidP="00E77CB3">
      <w:pPr>
        <w:pStyle w:val="JuList"/>
        <w:rPr>
          <w:b/>
          <w:lang w:val="fr-FR"/>
        </w:rPr>
      </w:pPr>
      <w:r w:rsidRPr="008F309E">
        <w:rPr>
          <w:lang w:val="fr-FR"/>
        </w:rPr>
        <w:t>1.  </w:t>
      </w:r>
      <w:r w:rsidRPr="008F309E">
        <w:rPr>
          <w:i/>
          <w:lang w:val="fr-FR"/>
        </w:rPr>
        <w:t>Déclare</w:t>
      </w:r>
      <w:r w:rsidRPr="008F309E">
        <w:rPr>
          <w:lang w:val="fr-FR"/>
        </w:rPr>
        <w:t xml:space="preserve"> la requête recevable</w:t>
      </w:r>
      <w:r w:rsidR="005450E9" w:rsidRPr="008F309E">
        <w:rPr>
          <w:lang w:val="fr-FR"/>
        </w:rPr>
        <w:t xml:space="preserve"> quant au grief tiré de l</w:t>
      </w:r>
      <w:r w:rsidR="00162789">
        <w:rPr>
          <w:lang w:val="fr-FR"/>
        </w:rPr>
        <w:t>’</w:t>
      </w:r>
      <w:r w:rsidR="005450E9" w:rsidRPr="008F309E">
        <w:rPr>
          <w:lang w:val="fr-FR"/>
        </w:rPr>
        <w:t xml:space="preserve">article 5 </w:t>
      </w:r>
      <w:r w:rsidR="00197EB0" w:rsidRPr="008F309E">
        <w:rPr>
          <w:lang w:val="fr-FR"/>
        </w:rPr>
        <w:t xml:space="preserve">§ 1 </w:t>
      </w:r>
      <w:r w:rsidR="005450E9" w:rsidRPr="008F309E">
        <w:rPr>
          <w:lang w:val="fr-FR"/>
        </w:rPr>
        <w:t>de la Convention et irrecevable pour le surplus</w:t>
      </w:r>
      <w:r w:rsidRPr="008F309E">
        <w:rPr>
          <w:lang w:val="fr-FR"/>
        </w:rPr>
        <w:t> ;</w:t>
      </w:r>
    </w:p>
    <w:p w:rsidR="00E77CB3" w:rsidRPr="008F309E" w:rsidRDefault="00E77CB3" w:rsidP="00E77CB3">
      <w:pPr>
        <w:pStyle w:val="JuList"/>
        <w:rPr>
          <w:lang w:val="fr-FR"/>
        </w:rPr>
      </w:pPr>
    </w:p>
    <w:p w:rsidR="00E77CB3" w:rsidRPr="008F309E" w:rsidRDefault="005450E9" w:rsidP="00E77CB3">
      <w:pPr>
        <w:pStyle w:val="JuList"/>
        <w:rPr>
          <w:lang w:val="fr-FR"/>
        </w:rPr>
      </w:pPr>
      <w:r w:rsidRPr="008F309E">
        <w:rPr>
          <w:lang w:val="fr-FR"/>
        </w:rPr>
        <w:t>2</w:t>
      </w:r>
      <w:r w:rsidR="00E77CB3" w:rsidRPr="008F309E">
        <w:rPr>
          <w:lang w:val="fr-FR"/>
        </w:rPr>
        <w:t>.  </w:t>
      </w:r>
      <w:r w:rsidR="00E77CB3" w:rsidRPr="008F309E">
        <w:rPr>
          <w:i/>
          <w:lang w:val="fr-FR"/>
        </w:rPr>
        <w:t>Dit</w:t>
      </w:r>
      <w:r w:rsidR="00E77CB3" w:rsidRPr="008F309E">
        <w:rPr>
          <w:lang w:val="fr-FR"/>
        </w:rPr>
        <w:t xml:space="preserve"> qu</w:t>
      </w:r>
      <w:r w:rsidR="00162789">
        <w:rPr>
          <w:lang w:val="fr-FR"/>
        </w:rPr>
        <w:t>’</w:t>
      </w:r>
      <w:r w:rsidR="00E77CB3" w:rsidRPr="008F309E">
        <w:rPr>
          <w:lang w:val="fr-FR"/>
        </w:rPr>
        <w:t>il y a eu violation de l</w:t>
      </w:r>
      <w:r w:rsidR="00162789">
        <w:rPr>
          <w:lang w:val="fr-FR"/>
        </w:rPr>
        <w:t>’</w:t>
      </w:r>
      <w:r w:rsidR="00E77CB3" w:rsidRPr="008F309E">
        <w:rPr>
          <w:lang w:val="fr-FR"/>
        </w:rPr>
        <w:t xml:space="preserve">article </w:t>
      </w:r>
      <w:r w:rsidRPr="008F309E">
        <w:rPr>
          <w:lang w:val="fr-FR"/>
        </w:rPr>
        <w:t>5</w:t>
      </w:r>
      <w:r w:rsidR="00E77CB3" w:rsidRPr="008F309E">
        <w:rPr>
          <w:lang w:val="fr-FR"/>
        </w:rPr>
        <w:t xml:space="preserve"> </w:t>
      </w:r>
      <w:r w:rsidR="00197EB0" w:rsidRPr="008F309E">
        <w:rPr>
          <w:lang w:val="fr-FR"/>
        </w:rPr>
        <w:t xml:space="preserve">§ 1 </w:t>
      </w:r>
      <w:r w:rsidR="00E77CB3" w:rsidRPr="008F309E">
        <w:rPr>
          <w:lang w:val="fr-FR"/>
        </w:rPr>
        <w:t>de la Convention ;</w:t>
      </w:r>
    </w:p>
    <w:p w:rsidR="00E77CB3" w:rsidRPr="008F309E" w:rsidRDefault="00E77CB3" w:rsidP="00E77CB3">
      <w:pPr>
        <w:pStyle w:val="JuList"/>
        <w:rPr>
          <w:lang w:val="fr-FR"/>
        </w:rPr>
      </w:pPr>
    </w:p>
    <w:p w:rsidR="00E77CB3" w:rsidRPr="008F309E" w:rsidRDefault="005450E9" w:rsidP="00E77CB3">
      <w:pPr>
        <w:pStyle w:val="JuList"/>
        <w:rPr>
          <w:lang w:val="fr-FR"/>
        </w:rPr>
      </w:pPr>
      <w:r w:rsidRPr="008F309E">
        <w:rPr>
          <w:lang w:val="fr-FR"/>
        </w:rPr>
        <w:t>3</w:t>
      </w:r>
      <w:r w:rsidR="008D33F2" w:rsidRPr="008F309E">
        <w:rPr>
          <w:lang w:val="fr-FR"/>
        </w:rPr>
        <w:t>.  </w:t>
      </w:r>
      <w:r w:rsidR="008D33F2" w:rsidRPr="008F309E">
        <w:rPr>
          <w:i/>
          <w:lang w:val="fr-FR"/>
        </w:rPr>
        <w:t>Dit</w:t>
      </w:r>
      <w:r w:rsidR="008D33F2" w:rsidRPr="008F309E">
        <w:rPr>
          <w:lang w:val="fr-FR"/>
        </w:rPr>
        <w:t xml:space="preserve"> que le constat d</w:t>
      </w:r>
      <w:r w:rsidR="00162789">
        <w:rPr>
          <w:lang w:val="fr-FR"/>
        </w:rPr>
        <w:t>’</w:t>
      </w:r>
      <w:r w:rsidR="008D33F2" w:rsidRPr="008F309E">
        <w:rPr>
          <w:lang w:val="fr-FR"/>
        </w:rPr>
        <w:t>une violation fournit en soi une satisfaction équitable suffisante pour le dommage moral subi par le requérant ;</w:t>
      </w:r>
    </w:p>
    <w:p w:rsidR="00E77CB3" w:rsidRPr="008F309E" w:rsidRDefault="00E77CB3" w:rsidP="00E77CB3">
      <w:pPr>
        <w:pStyle w:val="JuList"/>
        <w:rPr>
          <w:lang w:val="fr-FR"/>
        </w:rPr>
      </w:pPr>
    </w:p>
    <w:p w:rsidR="005559D3" w:rsidRDefault="00C8225D" w:rsidP="00E77CB3">
      <w:pPr>
        <w:pStyle w:val="JuList"/>
        <w:rPr>
          <w:lang w:val="fr-FR"/>
        </w:rPr>
      </w:pPr>
      <w:r w:rsidRPr="008F309E">
        <w:rPr>
          <w:lang w:val="fr-FR"/>
        </w:rPr>
        <w:t>4</w:t>
      </w:r>
      <w:r w:rsidR="00E77CB3" w:rsidRPr="008F309E">
        <w:rPr>
          <w:lang w:val="fr-FR"/>
        </w:rPr>
        <w:t>.  </w:t>
      </w:r>
      <w:r w:rsidR="00E77CB3" w:rsidRPr="008F309E">
        <w:rPr>
          <w:i/>
          <w:lang w:val="fr-FR"/>
        </w:rPr>
        <w:t>Dit</w:t>
      </w:r>
    </w:p>
    <w:p w:rsidR="00E77CB3" w:rsidRPr="008F309E" w:rsidRDefault="00E77CB3" w:rsidP="00C8225D">
      <w:pPr>
        <w:pStyle w:val="JuLista"/>
        <w:rPr>
          <w:lang w:val="fr-FR" w:eastAsia="en-GB"/>
        </w:rPr>
      </w:pPr>
      <w:r w:rsidRPr="008F309E">
        <w:rPr>
          <w:lang w:val="fr-FR"/>
        </w:rPr>
        <w:t>a)  que l</w:t>
      </w:r>
      <w:r w:rsidR="00162789">
        <w:rPr>
          <w:lang w:val="fr-FR"/>
        </w:rPr>
        <w:t>’</w:t>
      </w:r>
      <w:r w:rsidRPr="008F309E">
        <w:rPr>
          <w:lang w:val="fr-FR"/>
        </w:rPr>
        <w:t xml:space="preserve">État défendeur doit verser </w:t>
      </w:r>
      <w:r w:rsidR="008D33F2" w:rsidRPr="008F309E">
        <w:rPr>
          <w:lang w:val="fr-FR"/>
        </w:rPr>
        <w:t>au requérant</w:t>
      </w:r>
      <w:r w:rsidRPr="008F309E">
        <w:rPr>
          <w:lang w:val="fr-FR"/>
        </w:rPr>
        <w:t>, dans les trois mois</w:t>
      </w:r>
      <w:r w:rsidR="00C8225D" w:rsidRPr="008F309E">
        <w:rPr>
          <w:lang w:val="fr-FR"/>
        </w:rPr>
        <w:t xml:space="preserve"> </w:t>
      </w:r>
      <w:r w:rsidR="008D33F2" w:rsidRPr="008F309E">
        <w:rPr>
          <w:lang w:val="fr-FR"/>
        </w:rPr>
        <w:t>à compter du jour où l</w:t>
      </w:r>
      <w:r w:rsidR="00162789">
        <w:rPr>
          <w:lang w:val="fr-FR"/>
        </w:rPr>
        <w:t>’</w:t>
      </w:r>
      <w:r w:rsidR="008D33F2" w:rsidRPr="008F309E">
        <w:rPr>
          <w:lang w:val="fr-FR"/>
        </w:rPr>
        <w:t>arrêt sera devenu définitif conformément à l</w:t>
      </w:r>
      <w:r w:rsidR="00162789">
        <w:rPr>
          <w:lang w:val="fr-FR"/>
        </w:rPr>
        <w:t>’</w:t>
      </w:r>
      <w:r w:rsidR="008D33F2" w:rsidRPr="008F309E">
        <w:rPr>
          <w:lang w:val="fr-FR"/>
        </w:rPr>
        <w:t>article 44</w:t>
      </w:r>
      <w:r w:rsidR="007A6C76">
        <w:rPr>
          <w:lang w:val="fr-FR"/>
        </w:rPr>
        <w:t xml:space="preserve"> </w:t>
      </w:r>
      <w:r w:rsidR="008D33F2" w:rsidRPr="008F309E">
        <w:rPr>
          <w:lang w:val="fr-FR"/>
        </w:rPr>
        <w:t>§</w:t>
      </w:r>
      <w:r w:rsidR="007A6C76">
        <w:rPr>
          <w:lang w:val="fr-FR"/>
        </w:rPr>
        <w:t xml:space="preserve"> </w:t>
      </w:r>
      <w:r w:rsidR="008D33F2" w:rsidRPr="008F309E">
        <w:rPr>
          <w:lang w:val="fr-FR"/>
        </w:rPr>
        <w:t>2 de la Convention</w:t>
      </w:r>
      <w:r w:rsidRPr="008F309E">
        <w:rPr>
          <w:lang w:val="fr-FR"/>
        </w:rPr>
        <w:t xml:space="preserve">, </w:t>
      </w:r>
      <w:r w:rsidR="00C8225D" w:rsidRPr="008F309E">
        <w:rPr>
          <w:lang w:val="fr-FR" w:eastAsia="en-GB"/>
        </w:rPr>
        <w:t>5 000</w:t>
      </w:r>
      <w:r w:rsidRPr="008F309E">
        <w:rPr>
          <w:lang w:val="fr-FR" w:eastAsia="en-GB"/>
        </w:rPr>
        <w:t xml:space="preserve"> EUR (</w:t>
      </w:r>
      <w:r w:rsidR="00C8225D" w:rsidRPr="008F309E">
        <w:rPr>
          <w:lang w:val="fr-FR" w:eastAsia="en-GB"/>
        </w:rPr>
        <w:t>cinq mille</w:t>
      </w:r>
      <w:r w:rsidRPr="008F309E">
        <w:rPr>
          <w:lang w:val="fr-FR" w:eastAsia="en-GB"/>
        </w:rPr>
        <w:t xml:space="preserve"> euros), plus tout montant </w:t>
      </w:r>
      <w:r w:rsidR="005E37C6" w:rsidRPr="008F309E">
        <w:rPr>
          <w:lang w:val="fr-FR" w:eastAsia="en-GB"/>
        </w:rPr>
        <w:t xml:space="preserve">pouvant être dû par </w:t>
      </w:r>
      <w:r w:rsidR="008D33F2" w:rsidRPr="008F309E">
        <w:rPr>
          <w:lang w:val="fr-FR"/>
        </w:rPr>
        <w:t>le requérant</w:t>
      </w:r>
      <w:r w:rsidR="005E37C6" w:rsidRPr="008F309E">
        <w:rPr>
          <w:lang w:val="fr-FR" w:eastAsia="en-GB"/>
        </w:rPr>
        <w:t xml:space="preserve"> à titre d</w:t>
      </w:r>
      <w:r w:rsidR="00162789">
        <w:rPr>
          <w:lang w:val="fr-FR" w:eastAsia="en-GB"/>
        </w:rPr>
        <w:t>’</w:t>
      </w:r>
      <w:r w:rsidR="005E37C6" w:rsidRPr="008F309E">
        <w:rPr>
          <w:lang w:val="fr-FR" w:eastAsia="en-GB"/>
        </w:rPr>
        <w:t>impôt, pour frais et dépens</w:t>
      </w:r>
      <w:r w:rsidR="00C8225D" w:rsidRPr="008F309E">
        <w:rPr>
          <w:lang w:val="fr-FR" w:eastAsia="en-GB"/>
        </w:rPr>
        <w:t xml:space="preserve">, </w:t>
      </w:r>
      <w:r w:rsidR="00C8225D" w:rsidRPr="008F309E">
        <w:rPr>
          <w:lang w:val="fr-FR"/>
        </w:rPr>
        <w:t>moins le montant versé par le Conseil de l</w:t>
      </w:r>
      <w:r w:rsidR="00162789">
        <w:rPr>
          <w:lang w:val="fr-FR"/>
        </w:rPr>
        <w:t>’</w:t>
      </w:r>
      <w:r w:rsidR="00C8225D" w:rsidRPr="008F309E">
        <w:rPr>
          <w:lang w:val="fr-FR"/>
        </w:rPr>
        <w:t>Europe dans le cadre de l</w:t>
      </w:r>
      <w:r w:rsidR="00162789">
        <w:rPr>
          <w:lang w:val="fr-FR"/>
        </w:rPr>
        <w:t>’</w:t>
      </w:r>
      <w:r w:rsidR="00C8225D" w:rsidRPr="008F309E">
        <w:rPr>
          <w:lang w:val="fr-FR"/>
        </w:rPr>
        <w:t>assistance judiciaire</w:t>
      </w:r>
      <w:r w:rsidRPr="008F309E">
        <w:rPr>
          <w:lang w:val="fr-FR" w:eastAsia="en-GB"/>
        </w:rPr>
        <w:t> ;</w:t>
      </w:r>
    </w:p>
    <w:p w:rsidR="00E77CB3" w:rsidRPr="008F309E" w:rsidRDefault="00E77CB3" w:rsidP="00E77CB3">
      <w:pPr>
        <w:pStyle w:val="JuLista"/>
        <w:rPr>
          <w:lang w:val="fr-FR"/>
        </w:rPr>
      </w:pPr>
      <w:r w:rsidRPr="008F309E">
        <w:rPr>
          <w:lang w:val="fr-FR"/>
        </w:rPr>
        <w:t>b)  qu</w:t>
      </w:r>
      <w:r w:rsidR="00162789">
        <w:rPr>
          <w:lang w:val="fr-FR"/>
        </w:rPr>
        <w:t>’</w:t>
      </w:r>
      <w:r w:rsidRPr="008F309E">
        <w:rPr>
          <w:lang w:val="fr-FR"/>
        </w:rPr>
        <w:t>à compter de l</w:t>
      </w:r>
      <w:r w:rsidR="00162789">
        <w:rPr>
          <w:lang w:val="fr-FR"/>
        </w:rPr>
        <w:t>’</w:t>
      </w:r>
      <w:r w:rsidRPr="008F309E">
        <w:rPr>
          <w:lang w:val="fr-FR"/>
        </w:rPr>
        <w:t>expiration dudit délai et jusqu</w:t>
      </w:r>
      <w:r w:rsidR="00162789">
        <w:rPr>
          <w:lang w:val="fr-FR"/>
        </w:rPr>
        <w:t>’</w:t>
      </w:r>
      <w:r w:rsidRPr="008F309E">
        <w:rPr>
          <w:lang w:val="fr-FR"/>
        </w:rPr>
        <w:t>au versement, ce montant ser</w:t>
      </w:r>
      <w:r w:rsidR="00C8225D" w:rsidRPr="008F309E">
        <w:rPr>
          <w:lang w:val="fr-FR"/>
        </w:rPr>
        <w:t>a</w:t>
      </w:r>
      <w:r w:rsidRPr="008F309E">
        <w:rPr>
          <w:lang w:val="fr-FR"/>
        </w:rPr>
        <w:t xml:space="preserve"> à majorer d</w:t>
      </w:r>
      <w:r w:rsidR="00162789">
        <w:rPr>
          <w:lang w:val="fr-FR"/>
        </w:rPr>
        <w:t>’</w:t>
      </w:r>
      <w:r w:rsidRPr="008F309E">
        <w:rPr>
          <w:lang w:val="fr-FR"/>
        </w:rPr>
        <w:t>un intérêt simple à un taux égal à celui de la facilité de prêt marginal de la Banque centrale européenne applicable pendant cette période, augmenté de trois points de pourcentage ;</w:t>
      </w:r>
    </w:p>
    <w:p w:rsidR="00E77CB3" w:rsidRPr="008F309E" w:rsidRDefault="00E77CB3" w:rsidP="00E77CB3">
      <w:pPr>
        <w:pStyle w:val="JuLista"/>
        <w:rPr>
          <w:lang w:val="fr-FR"/>
        </w:rPr>
      </w:pPr>
    </w:p>
    <w:p w:rsidR="00E77CB3" w:rsidRDefault="00C8225D" w:rsidP="00E77CB3">
      <w:pPr>
        <w:pStyle w:val="JuList"/>
        <w:rPr>
          <w:b/>
          <w:lang w:val="fr-FR"/>
        </w:rPr>
      </w:pPr>
      <w:r w:rsidRPr="008F309E">
        <w:rPr>
          <w:lang w:val="fr-FR"/>
        </w:rPr>
        <w:t>5</w:t>
      </w:r>
      <w:r w:rsidR="00E77CB3" w:rsidRPr="008F309E">
        <w:rPr>
          <w:lang w:val="fr-FR"/>
        </w:rPr>
        <w:t>.  </w:t>
      </w:r>
      <w:r w:rsidR="00E77CB3" w:rsidRPr="008F309E">
        <w:rPr>
          <w:i/>
          <w:lang w:val="fr-FR"/>
        </w:rPr>
        <w:t>Rejette</w:t>
      </w:r>
      <w:r w:rsidR="00E77CB3" w:rsidRPr="008F309E">
        <w:rPr>
          <w:lang w:val="fr-FR"/>
        </w:rPr>
        <w:t xml:space="preserve"> la demande de satisfaction équitable pour le surplus</w:t>
      </w:r>
      <w:r w:rsidR="00BC4F70">
        <w:rPr>
          <w:lang w:val="fr-FR"/>
        </w:rPr>
        <w:t>.</w:t>
      </w:r>
    </w:p>
    <w:p w:rsidR="00E77CB3" w:rsidRPr="008F309E" w:rsidRDefault="00E77CB3" w:rsidP="00E77CB3">
      <w:pPr>
        <w:pStyle w:val="JuParaLast"/>
        <w:rPr>
          <w:lang w:val="fr-FR"/>
        </w:rPr>
      </w:pPr>
      <w:r w:rsidRPr="008F309E">
        <w:rPr>
          <w:lang w:val="fr-FR"/>
        </w:rPr>
        <w:t>Fait en français, puis communiqué par écrit le</w:t>
      </w:r>
      <w:r w:rsidR="007A6C76">
        <w:rPr>
          <w:lang w:val="fr-FR"/>
        </w:rPr>
        <w:t xml:space="preserve"> </w:t>
      </w:r>
      <w:r w:rsidR="00BC4F70">
        <w:rPr>
          <w:lang w:val="fr-FR"/>
        </w:rPr>
        <w:t>13 octobre 2015</w:t>
      </w:r>
      <w:r w:rsidRPr="008F309E">
        <w:rPr>
          <w:lang w:val="fr-FR"/>
        </w:rPr>
        <w:t>, en application de l</w:t>
      </w:r>
      <w:r w:rsidR="00162789">
        <w:rPr>
          <w:lang w:val="fr-FR"/>
        </w:rPr>
        <w:t>’</w:t>
      </w:r>
      <w:r w:rsidRPr="008F309E">
        <w:rPr>
          <w:lang w:val="fr-FR"/>
        </w:rPr>
        <w:t>article 77 §§ 2 et 3 du règlement</w:t>
      </w:r>
      <w:r w:rsidR="00AC0824" w:rsidRPr="008F309E">
        <w:rPr>
          <w:lang w:val="fr-FR"/>
        </w:rPr>
        <w:t xml:space="preserve"> de la Cour</w:t>
      </w:r>
      <w:r w:rsidRPr="008F309E">
        <w:rPr>
          <w:lang w:val="fr-FR"/>
        </w:rPr>
        <w:t>.</w:t>
      </w:r>
    </w:p>
    <w:p w:rsidR="004D15F3" w:rsidRDefault="008D33F2" w:rsidP="001947EE">
      <w:pPr>
        <w:pStyle w:val="JuSigned"/>
        <w:keepNext/>
        <w:keepLines/>
        <w:rPr>
          <w:lang w:val="fr-FR"/>
        </w:rPr>
      </w:pPr>
      <w:r w:rsidRPr="008F309E">
        <w:rPr>
          <w:lang w:val="fr-FR"/>
        </w:rPr>
        <w:tab/>
        <w:t>Françoise Elens-Passos</w:t>
      </w:r>
      <w:r w:rsidR="00E77CB3" w:rsidRPr="008F309E">
        <w:rPr>
          <w:lang w:val="fr-FR"/>
        </w:rPr>
        <w:tab/>
      </w:r>
      <w:r w:rsidR="00022B2F" w:rsidRPr="008F309E">
        <w:rPr>
          <w:lang w:val="fr-FR"/>
        </w:rPr>
        <w:t>Päivi Hirvelä</w:t>
      </w:r>
      <w:r w:rsidR="00E77CB3" w:rsidRPr="008F309E">
        <w:rPr>
          <w:lang w:val="fr-FR"/>
        </w:rPr>
        <w:br/>
      </w:r>
      <w:r w:rsidR="00E77CB3" w:rsidRPr="008F309E">
        <w:rPr>
          <w:lang w:val="fr-FR"/>
        </w:rPr>
        <w:tab/>
      </w:r>
      <w:r w:rsidRPr="008F309E">
        <w:rPr>
          <w:lang w:val="fr-FR"/>
        </w:rPr>
        <w:t>Greffière</w:t>
      </w:r>
      <w:r w:rsidR="00E77CB3" w:rsidRPr="008F309E">
        <w:rPr>
          <w:lang w:val="fr-FR"/>
        </w:rPr>
        <w:tab/>
      </w:r>
      <w:r w:rsidRPr="008F309E">
        <w:rPr>
          <w:lang w:val="fr-FR"/>
        </w:rPr>
        <w:t>Président</w:t>
      </w:r>
      <w:r w:rsidR="00022B2F" w:rsidRPr="008F309E">
        <w:rPr>
          <w:lang w:val="fr-FR"/>
        </w:rPr>
        <w:t>e</w:t>
      </w:r>
    </w:p>
    <w:p w:rsidR="005A6902" w:rsidRPr="005A6902" w:rsidRDefault="005A6902" w:rsidP="00BD54DF">
      <w:pPr>
        <w:pStyle w:val="JuParaLast"/>
        <w:rPr>
          <w:lang w:val="fr-FR"/>
        </w:rPr>
      </w:pPr>
      <w:r w:rsidRPr="005A6902">
        <w:rPr>
          <w:lang w:val="fr-FR"/>
        </w:rPr>
        <w:t xml:space="preserve">Au présent arrêt se trouve joint, conformément aux articles 45 § 2 de la Convention et 74 § 2 du règlement, </w:t>
      </w:r>
      <w:r>
        <w:rPr>
          <w:lang w:val="fr-FR"/>
        </w:rPr>
        <w:t>l</w:t>
      </w:r>
      <w:r w:rsidR="00162789">
        <w:rPr>
          <w:lang w:val="fr-FR"/>
        </w:rPr>
        <w:t>’</w:t>
      </w:r>
      <w:r>
        <w:rPr>
          <w:lang w:val="fr-FR"/>
        </w:rPr>
        <w:t>exposé de l</w:t>
      </w:r>
      <w:r w:rsidR="00162789">
        <w:rPr>
          <w:lang w:val="fr-FR"/>
        </w:rPr>
        <w:t>’</w:t>
      </w:r>
      <w:r>
        <w:rPr>
          <w:lang w:val="fr-FR"/>
        </w:rPr>
        <w:t xml:space="preserve">opinion séparée </w:t>
      </w:r>
      <w:r w:rsidRPr="005A6902">
        <w:rPr>
          <w:lang w:val="fr-FR"/>
        </w:rPr>
        <w:t>du juge Wojtyczek.</w:t>
      </w:r>
    </w:p>
    <w:p w:rsidR="005A6902" w:rsidRPr="0051458B" w:rsidRDefault="005A6902" w:rsidP="005A6902">
      <w:pPr>
        <w:pStyle w:val="JuInitialled"/>
        <w:rPr>
          <w:lang w:val="fr-FR"/>
        </w:rPr>
      </w:pPr>
      <w:r w:rsidRPr="0051458B">
        <w:rPr>
          <w:lang w:val="fr-FR"/>
        </w:rPr>
        <w:t>P.H.</w:t>
      </w:r>
      <w:r w:rsidRPr="0051458B">
        <w:rPr>
          <w:lang w:val="fr-FR"/>
        </w:rPr>
        <w:br/>
        <w:t>F.E.P.</w:t>
      </w:r>
    </w:p>
    <w:p w:rsidR="000850C1" w:rsidRDefault="000850C1" w:rsidP="005A6902">
      <w:pPr>
        <w:pStyle w:val="JuInitialled"/>
        <w:rPr>
          <w:lang w:val="fr-FR"/>
        </w:rPr>
        <w:sectPr w:rsidR="000850C1" w:rsidSect="005559D3">
          <w:headerReference w:type="even" r:id="rId14"/>
          <w:headerReference w:type="default" r:id="rId15"/>
          <w:pgSz w:w="11906" w:h="16838" w:code="9"/>
          <w:pgMar w:top="2274" w:right="2274" w:bottom="2274" w:left="2274" w:header="1701" w:footer="720" w:gutter="0"/>
          <w:pgNumType w:start="1"/>
          <w:cols w:space="720"/>
          <w:docGrid w:linePitch="326"/>
        </w:sectPr>
      </w:pPr>
    </w:p>
    <w:p w:rsidR="000850C1" w:rsidRPr="000850C1" w:rsidRDefault="000850C1" w:rsidP="000850C1">
      <w:pPr>
        <w:pStyle w:val="ECHRTitleCentre1"/>
        <w:rPr>
          <w:lang w:val="fr-FR"/>
        </w:rPr>
      </w:pPr>
      <w:r w:rsidRPr="000850C1">
        <w:rPr>
          <w:lang w:val="fr-FR"/>
        </w:rPr>
        <w:t>OPINION CONCORDANTE DU JUGE WOJTYCZEK</w:t>
      </w:r>
    </w:p>
    <w:p w:rsidR="009A795C" w:rsidRDefault="00DB2403" w:rsidP="000850C1">
      <w:pPr>
        <w:pStyle w:val="OpiPara"/>
        <w:rPr>
          <w:lang w:val="fr-FR"/>
        </w:rPr>
      </w:pPr>
      <w:r>
        <w:rPr>
          <w:lang w:val="fr-FR"/>
        </w:rPr>
        <w:t>1.  </w:t>
      </w:r>
      <w:r w:rsidR="000850C1" w:rsidRPr="000850C1">
        <w:rPr>
          <w:lang w:val="fr-FR"/>
        </w:rPr>
        <w:t>J</w:t>
      </w:r>
      <w:r w:rsidR="00162789">
        <w:rPr>
          <w:lang w:val="fr-FR"/>
        </w:rPr>
        <w:t>’</w:t>
      </w:r>
      <w:r w:rsidR="000850C1" w:rsidRPr="000850C1">
        <w:rPr>
          <w:lang w:val="fr-FR"/>
        </w:rPr>
        <w:t>estime à l</w:t>
      </w:r>
      <w:r w:rsidR="00162789">
        <w:rPr>
          <w:lang w:val="fr-FR"/>
        </w:rPr>
        <w:t>’</w:t>
      </w:r>
      <w:r w:rsidR="000850C1" w:rsidRPr="000850C1">
        <w:rPr>
          <w:lang w:val="fr-FR"/>
        </w:rPr>
        <w:t>instar de la majorité que l</w:t>
      </w:r>
      <w:r w:rsidR="00162789">
        <w:rPr>
          <w:lang w:val="fr-FR"/>
        </w:rPr>
        <w:t>’</w:t>
      </w:r>
      <w:r w:rsidR="000850C1" w:rsidRPr="000850C1">
        <w:rPr>
          <w:lang w:val="fr-FR"/>
        </w:rPr>
        <w:t>article 5 § 1 a été violé en l</w:t>
      </w:r>
      <w:r w:rsidR="00162789">
        <w:rPr>
          <w:lang w:val="fr-FR"/>
        </w:rPr>
        <w:t>’</w:t>
      </w:r>
      <w:r w:rsidR="000850C1" w:rsidRPr="000850C1">
        <w:rPr>
          <w:lang w:val="fr-FR"/>
        </w:rPr>
        <w:t>espèce ; toutefois je ne suis pas complètement persuadé par l</w:t>
      </w:r>
      <w:r w:rsidR="00162789">
        <w:rPr>
          <w:lang w:val="fr-FR"/>
        </w:rPr>
        <w:t>’</w:t>
      </w:r>
      <w:r w:rsidR="000850C1" w:rsidRPr="000850C1">
        <w:rPr>
          <w:lang w:val="fr-FR"/>
        </w:rPr>
        <w:t>argumentation développée sur ce point dans la motivation de l</w:t>
      </w:r>
      <w:r w:rsidR="00162789">
        <w:rPr>
          <w:lang w:val="fr-FR"/>
        </w:rPr>
        <w:t>’</w:t>
      </w:r>
      <w:r w:rsidR="000850C1" w:rsidRPr="000850C1">
        <w:rPr>
          <w:lang w:val="fr-FR"/>
        </w:rPr>
        <w:t>arrêt.</w:t>
      </w:r>
    </w:p>
    <w:p w:rsidR="000850C1" w:rsidRDefault="00036737" w:rsidP="009A795C">
      <w:pPr>
        <w:pStyle w:val="OpiPara"/>
        <w:rPr>
          <w:lang w:val="fr-FR"/>
        </w:rPr>
      </w:pPr>
      <w:r>
        <w:rPr>
          <w:lang w:val="fr-FR"/>
        </w:rPr>
        <w:t>2.  </w:t>
      </w:r>
      <w:r w:rsidR="000850C1" w:rsidRPr="000850C1">
        <w:rPr>
          <w:lang w:val="fr-FR"/>
        </w:rPr>
        <w:t>L</w:t>
      </w:r>
      <w:r w:rsidR="00162789">
        <w:rPr>
          <w:lang w:val="fr-FR"/>
        </w:rPr>
        <w:t>’</w:t>
      </w:r>
      <w:r w:rsidR="000850C1" w:rsidRPr="000850C1">
        <w:rPr>
          <w:lang w:val="fr-FR"/>
        </w:rPr>
        <w:t>article 5 § 1 a) de la Convention autorise la privation de liberté d</w:t>
      </w:r>
      <w:r w:rsidR="00162789">
        <w:rPr>
          <w:lang w:val="fr-FR"/>
        </w:rPr>
        <w:t>’</w:t>
      </w:r>
      <w:r w:rsidR="000850C1" w:rsidRPr="000850C1">
        <w:rPr>
          <w:lang w:val="fr-FR"/>
        </w:rPr>
        <w:t>une personne « selon les voies légales » si celle-ci est détenue « régulièrement après condamnation par un tribunal compétent ». Selon la jurisprudence de la Cour, la détention d</w:t>
      </w:r>
      <w:r w:rsidR="00162789">
        <w:rPr>
          <w:lang w:val="fr-FR"/>
        </w:rPr>
        <w:t>’</w:t>
      </w:r>
      <w:r w:rsidR="000850C1" w:rsidRPr="000850C1">
        <w:rPr>
          <w:lang w:val="fr-FR"/>
        </w:rPr>
        <w:t>une personne est autorisée par l</w:t>
      </w:r>
      <w:r w:rsidR="00162789">
        <w:rPr>
          <w:lang w:val="fr-FR"/>
        </w:rPr>
        <w:t>’</w:t>
      </w:r>
      <w:r w:rsidR="000850C1" w:rsidRPr="000850C1">
        <w:rPr>
          <w:lang w:val="fr-FR"/>
        </w:rPr>
        <w:t xml:space="preserve">article 5 § 1 si elle est conforme au droit national applicable. Cette exigence de conformité est entendue comme une exigence de conformité non seulement au droit matériel mais aussi au droit procédural (voir par exemple, </w:t>
      </w:r>
      <w:r w:rsidR="000850C1" w:rsidRPr="000850C1">
        <w:rPr>
          <w:i/>
          <w:lang w:val="fr-FR"/>
        </w:rPr>
        <w:t>Crabtree c. République tchèque</w:t>
      </w:r>
      <w:r w:rsidR="000850C1" w:rsidRPr="000850C1">
        <w:rPr>
          <w:lang w:val="fr-FR"/>
        </w:rPr>
        <w:t>, n</w:t>
      </w:r>
      <w:r w:rsidR="000850C1" w:rsidRPr="000850C1">
        <w:rPr>
          <w:vertAlign w:val="superscript"/>
          <w:lang w:val="fr-FR"/>
        </w:rPr>
        <w:t>o</w:t>
      </w:r>
      <w:r w:rsidR="000850C1" w:rsidRPr="000850C1">
        <w:rPr>
          <w:lang w:val="fr-FR"/>
        </w:rPr>
        <w:t xml:space="preserve"> 41116/04</w:t>
      </w:r>
      <w:r w:rsidR="000850C1" w:rsidRPr="000850C1">
        <w:rPr>
          <w:snapToGrid w:val="0"/>
          <w:lang w:val="fr-FR"/>
        </w:rPr>
        <w:t>, §§ 33-34, 2</w:t>
      </w:r>
      <w:r w:rsidR="000850C1" w:rsidRPr="000850C1">
        <w:rPr>
          <w:lang w:val="fr-FR"/>
        </w:rPr>
        <w:t>5</w:t>
      </w:r>
      <w:r w:rsidR="000850C1" w:rsidRPr="000850C1">
        <w:rPr>
          <w:snapToGrid w:val="0"/>
          <w:lang w:val="fr-FR"/>
        </w:rPr>
        <w:t> </w:t>
      </w:r>
      <w:r w:rsidR="000850C1" w:rsidRPr="000850C1">
        <w:rPr>
          <w:lang w:val="fr-FR"/>
        </w:rPr>
        <w:t>février</w:t>
      </w:r>
      <w:r w:rsidR="000850C1" w:rsidRPr="000850C1">
        <w:rPr>
          <w:snapToGrid w:val="0"/>
          <w:lang w:val="fr-FR"/>
        </w:rPr>
        <w:t xml:space="preserve"> 2010 et </w:t>
      </w:r>
      <w:r w:rsidR="000850C1" w:rsidRPr="000850C1">
        <w:rPr>
          <w:i/>
          <w:lang w:val="fr-FR"/>
        </w:rPr>
        <w:t>Žirovnický c. République tchèque</w:t>
      </w:r>
      <w:r w:rsidR="000850C1" w:rsidRPr="000850C1">
        <w:rPr>
          <w:lang w:val="fr-FR"/>
        </w:rPr>
        <w:t>, n</w:t>
      </w:r>
      <w:r w:rsidR="000850C1" w:rsidRPr="000850C1">
        <w:rPr>
          <w:vertAlign w:val="superscript"/>
          <w:lang w:val="fr-FR"/>
        </w:rPr>
        <w:t>o</w:t>
      </w:r>
      <w:r w:rsidR="000850C1" w:rsidRPr="000850C1">
        <w:rPr>
          <w:lang w:val="fr-FR"/>
        </w:rPr>
        <w:t xml:space="preserve"> 23661/03</w:t>
      </w:r>
      <w:r w:rsidR="000850C1" w:rsidRPr="000850C1">
        <w:rPr>
          <w:snapToGrid w:val="0"/>
          <w:szCs w:val="24"/>
          <w:lang w:val="fr-FR"/>
        </w:rPr>
        <w:t xml:space="preserve">, § 57, </w:t>
      </w:r>
      <w:r w:rsidR="000850C1" w:rsidRPr="000850C1">
        <w:rPr>
          <w:szCs w:val="24"/>
          <w:lang w:val="fr-FR"/>
        </w:rPr>
        <w:t>30</w:t>
      </w:r>
      <w:r w:rsidR="000850C1" w:rsidRPr="000850C1">
        <w:rPr>
          <w:snapToGrid w:val="0"/>
          <w:szCs w:val="24"/>
          <w:lang w:val="fr-FR"/>
        </w:rPr>
        <w:t> </w:t>
      </w:r>
      <w:r w:rsidR="000850C1" w:rsidRPr="000850C1">
        <w:rPr>
          <w:szCs w:val="24"/>
          <w:lang w:val="fr-FR"/>
        </w:rPr>
        <w:t>septembre</w:t>
      </w:r>
      <w:r w:rsidR="000850C1" w:rsidRPr="000850C1">
        <w:rPr>
          <w:snapToGrid w:val="0"/>
          <w:szCs w:val="24"/>
          <w:lang w:val="fr-FR"/>
        </w:rPr>
        <w:t xml:space="preserve"> 2010</w:t>
      </w:r>
      <w:r w:rsidR="00363114">
        <w:rPr>
          <w:lang w:val="fr-FR"/>
        </w:rPr>
        <w:t>).</w:t>
      </w:r>
    </w:p>
    <w:p w:rsidR="000850C1" w:rsidRPr="000850C1" w:rsidRDefault="000850C1" w:rsidP="000850C1">
      <w:pPr>
        <w:pStyle w:val="OpiPara"/>
        <w:rPr>
          <w:lang w:val="fr-FR"/>
        </w:rPr>
      </w:pPr>
      <w:r w:rsidRPr="000850C1">
        <w:rPr>
          <w:lang w:val="fr-FR"/>
        </w:rPr>
        <w:t>Il y a pas de doute que même si la procédure pénale est entachée de certains vices qui justifient la modification ou l</w:t>
      </w:r>
      <w:r w:rsidR="00162789">
        <w:rPr>
          <w:lang w:val="fr-FR"/>
        </w:rPr>
        <w:t>’</w:t>
      </w:r>
      <w:r w:rsidRPr="000850C1">
        <w:rPr>
          <w:lang w:val="fr-FR"/>
        </w:rPr>
        <w:t>annulation d</w:t>
      </w:r>
      <w:r w:rsidR="00162789">
        <w:rPr>
          <w:lang w:val="fr-FR"/>
        </w:rPr>
        <w:t>’</w:t>
      </w:r>
      <w:r w:rsidRPr="000850C1">
        <w:rPr>
          <w:lang w:val="fr-FR"/>
        </w:rPr>
        <w:t>une décision de justice condamnant un accusé à une peine privative de liberté, la détention qui suit cette condamnation ne peut, en principe, être considérée comme irrégulière. Le fait qu</w:t>
      </w:r>
      <w:r w:rsidR="00162789">
        <w:rPr>
          <w:lang w:val="fr-FR"/>
        </w:rPr>
        <w:t>’</w:t>
      </w:r>
      <w:r w:rsidRPr="000850C1">
        <w:rPr>
          <w:lang w:val="fr-FR"/>
        </w:rPr>
        <w:t xml:space="preserve">une juridiction accepte un recours et annule ou modifie un jugement en vertu duquel une personne a été condamnée à une peine privative de liberté et a été détenue par la suite ne permet pas </w:t>
      </w:r>
      <w:r w:rsidR="0051458B">
        <w:rPr>
          <w:lang w:val="fr-FR"/>
        </w:rPr>
        <w:t xml:space="preserve">de </w:t>
      </w:r>
      <w:r w:rsidRPr="000850C1">
        <w:rPr>
          <w:lang w:val="fr-FR"/>
        </w:rPr>
        <w:t>considérer que la détention de cette personne était en elle-même irrégulière. Toutefois, dans le cas de certains vices de procédure particulièrement graves, le jugement condamnant un accusé à une peine privative de liberté ne peut pas être considéré comme une base légale satisfaisante au regard de l</w:t>
      </w:r>
      <w:r w:rsidR="00162789">
        <w:rPr>
          <w:lang w:val="fr-FR"/>
        </w:rPr>
        <w:t>’</w:t>
      </w:r>
      <w:r w:rsidRPr="000850C1">
        <w:rPr>
          <w:lang w:val="fr-FR"/>
        </w:rPr>
        <w:t>article</w:t>
      </w:r>
      <w:r w:rsidR="003E2BAF">
        <w:rPr>
          <w:lang w:val="fr-FR"/>
        </w:rPr>
        <w:t> </w:t>
      </w:r>
      <w:r w:rsidRPr="000850C1">
        <w:rPr>
          <w:lang w:val="fr-FR"/>
        </w:rPr>
        <w:t>5 de la Convention. Il peut en être ainsi en particulier en cas de vice de procédure qualifié entraînant la nullité absolue du procès pénal en vertu du droit national.</w:t>
      </w:r>
    </w:p>
    <w:p w:rsidR="000850C1" w:rsidRPr="000850C1" w:rsidRDefault="00036737" w:rsidP="000850C1">
      <w:pPr>
        <w:pStyle w:val="OpiPara"/>
        <w:rPr>
          <w:lang w:val="fr-FR"/>
        </w:rPr>
      </w:pPr>
      <w:r>
        <w:rPr>
          <w:lang w:val="fr-FR"/>
        </w:rPr>
        <w:t>3.  </w:t>
      </w:r>
      <w:r w:rsidR="000850C1" w:rsidRPr="000850C1">
        <w:rPr>
          <w:lang w:val="fr-FR"/>
        </w:rPr>
        <w:t>Dans la présente affaire, pour apprécier la légalité de la détention du requérant la majorité prend en considération, comme principale norme de référence, l</w:t>
      </w:r>
      <w:r w:rsidR="00162789">
        <w:rPr>
          <w:lang w:val="fr-FR"/>
        </w:rPr>
        <w:t>’</w:t>
      </w:r>
      <w:r w:rsidR="000850C1" w:rsidRPr="000850C1">
        <w:rPr>
          <w:lang w:val="fr-FR"/>
        </w:rPr>
        <w:t>article 6 de la Convention. Pour ma part, étant donné le renvoi au droit national figurant dans l</w:t>
      </w:r>
      <w:r w:rsidR="00162789">
        <w:rPr>
          <w:lang w:val="fr-FR"/>
        </w:rPr>
        <w:t>’</w:t>
      </w:r>
      <w:r w:rsidR="000850C1" w:rsidRPr="000850C1">
        <w:rPr>
          <w:lang w:val="fr-FR"/>
        </w:rPr>
        <w:t>article 5, j</w:t>
      </w:r>
      <w:r w:rsidR="00162789">
        <w:rPr>
          <w:lang w:val="fr-FR"/>
        </w:rPr>
        <w:t>’</w:t>
      </w:r>
      <w:r w:rsidR="000850C1" w:rsidRPr="000850C1">
        <w:rPr>
          <w:lang w:val="fr-FR"/>
        </w:rPr>
        <w:t>estime que la légalité de la détention dans le cas du requérant doit s</w:t>
      </w:r>
      <w:r w:rsidR="00162789">
        <w:rPr>
          <w:lang w:val="fr-FR"/>
        </w:rPr>
        <w:t>’</w:t>
      </w:r>
      <w:r w:rsidR="000850C1" w:rsidRPr="000850C1">
        <w:rPr>
          <w:lang w:val="fr-FR"/>
        </w:rPr>
        <w:t>apprécier avant tout sur le fondement des règles du droit national. L</w:t>
      </w:r>
      <w:r w:rsidR="00162789">
        <w:rPr>
          <w:lang w:val="fr-FR"/>
        </w:rPr>
        <w:t>’</w:t>
      </w:r>
      <w:r w:rsidR="000850C1" w:rsidRPr="000850C1">
        <w:rPr>
          <w:lang w:val="fr-FR"/>
        </w:rPr>
        <w:t>analyse au regard de l</w:t>
      </w:r>
      <w:r w:rsidR="00162789">
        <w:rPr>
          <w:lang w:val="fr-FR"/>
        </w:rPr>
        <w:t>’</w:t>
      </w:r>
      <w:r w:rsidR="000850C1" w:rsidRPr="000850C1">
        <w:rPr>
          <w:lang w:val="fr-FR"/>
        </w:rPr>
        <w:t>article</w:t>
      </w:r>
      <w:r w:rsidR="00962209">
        <w:rPr>
          <w:lang w:val="fr-FR"/>
        </w:rPr>
        <w:t> </w:t>
      </w:r>
      <w:r w:rsidR="000850C1" w:rsidRPr="000850C1">
        <w:rPr>
          <w:lang w:val="fr-FR"/>
        </w:rPr>
        <w:t>6 peut être nécessaire à un stade ultérieur, si la détention d</w:t>
      </w:r>
      <w:r w:rsidR="00162789">
        <w:rPr>
          <w:lang w:val="fr-FR"/>
        </w:rPr>
        <w:t>’</w:t>
      </w:r>
      <w:r w:rsidR="000850C1" w:rsidRPr="000850C1">
        <w:rPr>
          <w:lang w:val="fr-FR"/>
        </w:rPr>
        <w:t xml:space="preserve">une personne devait être jugée </w:t>
      </w:r>
      <w:r w:rsidR="00DC68D5">
        <w:rPr>
          <w:lang w:val="fr-FR"/>
        </w:rPr>
        <w:t>conforme à la loi nationale.</w:t>
      </w:r>
    </w:p>
    <w:p w:rsidR="000850C1" w:rsidRPr="000850C1" w:rsidRDefault="00C80EE5" w:rsidP="000850C1">
      <w:pPr>
        <w:pStyle w:val="OpiPara"/>
        <w:rPr>
          <w:lang w:val="fr-FR"/>
        </w:rPr>
      </w:pPr>
      <w:r>
        <w:rPr>
          <w:lang w:val="fr-FR"/>
        </w:rPr>
        <w:t>4.  </w:t>
      </w:r>
      <w:r w:rsidR="000850C1" w:rsidRPr="000850C1">
        <w:rPr>
          <w:lang w:val="fr-FR"/>
        </w:rPr>
        <w:t>Au paragraphe 115 de l</w:t>
      </w:r>
      <w:r w:rsidR="00162789">
        <w:rPr>
          <w:lang w:val="fr-FR"/>
        </w:rPr>
        <w:t>’</w:t>
      </w:r>
      <w:r w:rsidR="000850C1" w:rsidRPr="000850C1">
        <w:rPr>
          <w:lang w:val="fr-FR"/>
        </w:rPr>
        <w:t>arrêt, la majorité affirme que la condamnation par contumace de l</w:t>
      </w:r>
      <w:r w:rsidR="00162789">
        <w:rPr>
          <w:lang w:val="fr-FR"/>
        </w:rPr>
        <w:t>’</w:t>
      </w:r>
      <w:r w:rsidR="000850C1" w:rsidRPr="000850C1">
        <w:rPr>
          <w:lang w:val="fr-FR"/>
        </w:rPr>
        <w:t>intéressé était légale en droit italien. Je ne suis pas convaincu par cette appréciation. La Cour d</w:t>
      </w:r>
      <w:r w:rsidR="00162789">
        <w:rPr>
          <w:lang w:val="fr-FR"/>
        </w:rPr>
        <w:t>’</w:t>
      </w:r>
      <w:r w:rsidR="000850C1" w:rsidRPr="000850C1">
        <w:rPr>
          <w:lang w:val="fr-FR"/>
        </w:rPr>
        <w:t>assises d</w:t>
      </w:r>
      <w:r w:rsidR="00162789">
        <w:rPr>
          <w:lang w:val="fr-FR"/>
        </w:rPr>
        <w:t>’</w:t>
      </w:r>
      <w:r w:rsidR="000850C1" w:rsidRPr="000850C1">
        <w:rPr>
          <w:lang w:val="fr-FR"/>
        </w:rPr>
        <w:t>appel de Cantazaro a déclaré le procès par contumace du requérant entaché de nullité absolue (paragraphe</w:t>
      </w:r>
      <w:r w:rsidR="002E43E8">
        <w:rPr>
          <w:lang w:val="fr-FR"/>
        </w:rPr>
        <w:t> </w:t>
      </w:r>
      <w:r w:rsidR="000850C1" w:rsidRPr="000850C1">
        <w:rPr>
          <w:lang w:val="fr-FR"/>
        </w:rPr>
        <w:t>42 de l</w:t>
      </w:r>
      <w:r w:rsidR="00162789">
        <w:rPr>
          <w:lang w:val="fr-FR"/>
        </w:rPr>
        <w:t>’</w:t>
      </w:r>
      <w:r w:rsidR="000850C1" w:rsidRPr="000850C1">
        <w:rPr>
          <w:lang w:val="fr-FR"/>
        </w:rPr>
        <w:t>arrêt). Si un procès pénal est vicié au point d</w:t>
      </w:r>
      <w:r w:rsidR="00162789">
        <w:rPr>
          <w:lang w:val="fr-FR"/>
        </w:rPr>
        <w:t>’</w:t>
      </w:r>
      <w:r w:rsidR="000850C1" w:rsidRPr="000850C1">
        <w:rPr>
          <w:lang w:val="fr-FR"/>
        </w:rPr>
        <w:t>être entaché de nullité absolue, il est difficile d</w:t>
      </w:r>
      <w:r w:rsidR="00162789">
        <w:rPr>
          <w:lang w:val="fr-FR"/>
        </w:rPr>
        <w:t>’</w:t>
      </w:r>
      <w:r w:rsidR="000850C1" w:rsidRPr="000850C1">
        <w:rPr>
          <w:lang w:val="fr-FR"/>
        </w:rPr>
        <w:t>admettre que la détention qui suit un tel procès est régulière au regard du droit national. Le fait que cette nullité n</w:t>
      </w:r>
      <w:r w:rsidR="00162789">
        <w:rPr>
          <w:lang w:val="fr-FR"/>
        </w:rPr>
        <w:t>’</w:t>
      </w:r>
      <w:r w:rsidR="000850C1" w:rsidRPr="000850C1">
        <w:rPr>
          <w:lang w:val="fr-FR"/>
        </w:rPr>
        <w:t>ait été constatée que des années plus tard ne change pas l</w:t>
      </w:r>
      <w:r w:rsidR="00162789">
        <w:rPr>
          <w:lang w:val="fr-FR"/>
        </w:rPr>
        <w:t>’</w:t>
      </w:r>
      <w:r w:rsidR="000850C1" w:rsidRPr="000850C1">
        <w:rPr>
          <w:lang w:val="fr-FR"/>
        </w:rPr>
        <w:t>appréciation de la régularité de la détention qui avait suivi l</w:t>
      </w:r>
      <w:r w:rsidR="00162789">
        <w:rPr>
          <w:lang w:val="fr-FR"/>
        </w:rPr>
        <w:t>’</w:t>
      </w:r>
      <w:r w:rsidR="000850C1" w:rsidRPr="000850C1">
        <w:rPr>
          <w:lang w:val="fr-FR"/>
        </w:rPr>
        <w:t>arrêt rendu.</w:t>
      </w:r>
    </w:p>
    <w:p w:rsidR="000850C1" w:rsidRPr="000850C1" w:rsidRDefault="000850C1" w:rsidP="000850C1">
      <w:pPr>
        <w:pStyle w:val="OpiPara"/>
        <w:rPr>
          <w:lang w:val="fr-FR"/>
        </w:rPr>
      </w:pPr>
      <w:r w:rsidRPr="000850C1">
        <w:rPr>
          <w:lang w:val="fr-FR"/>
        </w:rPr>
        <w:t>En tout cas, pour constater la violation de l</w:t>
      </w:r>
      <w:r w:rsidR="00162789">
        <w:rPr>
          <w:lang w:val="fr-FR"/>
        </w:rPr>
        <w:t>’</w:t>
      </w:r>
      <w:r w:rsidRPr="000850C1">
        <w:rPr>
          <w:lang w:val="fr-FR"/>
        </w:rPr>
        <w:t>article 5 § 1 de la Convention, il aurait suffi de se fonder sur les décisions des juridictions italiennes qui, tenant compte des violations particulièrement graves des règles procédurales nationales, ont constaté la nullité absolue du procès. Il n</w:t>
      </w:r>
      <w:r w:rsidR="00162789">
        <w:rPr>
          <w:lang w:val="fr-FR"/>
        </w:rPr>
        <w:t>’</w:t>
      </w:r>
      <w:r w:rsidRPr="000850C1">
        <w:rPr>
          <w:lang w:val="fr-FR"/>
        </w:rPr>
        <w:t>était pas nécessaire d</w:t>
      </w:r>
      <w:r w:rsidR="00162789">
        <w:rPr>
          <w:lang w:val="fr-FR"/>
        </w:rPr>
        <w:t>’</w:t>
      </w:r>
      <w:r w:rsidRPr="000850C1">
        <w:rPr>
          <w:lang w:val="fr-FR"/>
        </w:rPr>
        <w:t>examiner la régularité de la procédure suivie du point de vue des normes plus générales de justice procédurale établie</w:t>
      </w:r>
      <w:r w:rsidR="00203780">
        <w:rPr>
          <w:lang w:val="fr-FR"/>
        </w:rPr>
        <w:t>s par l</w:t>
      </w:r>
      <w:r w:rsidR="00162789">
        <w:rPr>
          <w:lang w:val="fr-FR"/>
        </w:rPr>
        <w:t>’</w:t>
      </w:r>
      <w:r w:rsidR="00203780">
        <w:rPr>
          <w:lang w:val="fr-FR"/>
        </w:rPr>
        <w:t>article </w:t>
      </w:r>
      <w:r w:rsidRPr="000850C1">
        <w:rPr>
          <w:lang w:val="fr-FR"/>
        </w:rPr>
        <w:t>6 de la Convention.</w:t>
      </w:r>
    </w:p>
    <w:p w:rsidR="009A795C" w:rsidRDefault="00771D60" w:rsidP="000850C1">
      <w:pPr>
        <w:pStyle w:val="OpiPara"/>
        <w:rPr>
          <w:lang w:val="fr-FR"/>
        </w:rPr>
      </w:pPr>
      <w:r>
        <w:rPr>
          <w:lang w:val="fr-FR"/>
        </w:rPr>
        <w:t>5.  </w:t>
      </w:r>
      <w:r w:rsidR="000850C1" w:rsidRPr="000850C1">
        <w:rPr>
          <w:lang w:val="fr-FR"/>
        </w:rPr>
        <w:t>La majorité met exergue le fait que la procédure pénale suivie était « manifestement contraire aux dispositions de l</w:t>
      </w:r>
      <w:r w:rsidR="00162789">
        <w:rPr>
          <w:lang w:val="fr-FR"/>
        </w:rPr>
        <w:t>’</w:t>
      </w:r>
      <w:r w:rsidR="000850C1" w:rsidRPr="000850C1">
        <w:rPr>
          <w:lang w:val="fr-FR"/>
        </w:rPr>
        <w:t>article 6 ou aux principes qui y sont consacrés », ce qui aboutit à « un déni flagrant de justice » (paragraphe</w:t>
      </w:r>
      <w:r w:rsidR="00E00D01">
        <w:rPr>
          <w:lang w:val="fr-FR"/>
        </w:rPr>
        <w:t> </w:t>
      </w:r>
      <w:r w:rsidR="000850C1" w:rsidRPr="000850C1">
        <w:rPr>
          <w:lang w:val="fr-FR"/>
        </w:rPr>
        <w:t>117 de l</w:t>
      </w:r>
      <w:r w:rsidR="00162789">
        <w:rPr>
          <w:lang w:val="fr-FR"/>
        </w:rPr>
        <w:t>’</w:t>
      </w:r>
      <w:r w:rsidR="000850C1" w:rsidRPr="000850C1">
        <w:rPr>
          <w:lang w:val="fr-FR"/>
        </w:rPr>
        <w:t>arrêt). Cette approche suscite deux réserves. D</w:t>
      </w:r>
      <w:r w:rsidR="00162789">
        <w:rPr>
          <w:lang w:val="fr-FR"/>
        </w:rPr>
        <w:t>’</w:t>
      </w:r>
      <w:r w:rsidR="000850C1" w:rsidRPr="000850C1">
        <w:rPr>
          <w:lang w:val="fr-FR"/>
        </w:rPr>
        <w:t>une part, elle aurait plus convaincante si elle avait été étayée par une analyse détaillée de la situation de fait et de droit du requérant dans le procès pénal en Italie. D</w:t>
      </w:r>
      <w:r w:rsidR="00162789">
        <w:rPr>
          <w:lang w:val="fr-FR"/>
        </w:rPr>
        <w:t>’</w:t>
      </w:r>
      <w:r w:rsidR="000850C1" w:rsidRPr="000850C1">
        <w:rPr>
          <w:lang w:val="fr-FR"/>
        </w:rPr>
        <w:t>autre part, la formulation utilisée semble suggérer d</w:t>
      </w:r>
      <w:r w:rsidR="00162789">
        <w:rPr>
          <w:lang w:val="fr-FR"/>
        </w:rPr>
        <w:t>’</w:t>
      </w:r>
      <w:r w:rsidR="000850C1" w:rsidRPr="000850C1">
        <w:rPr>
          <w:lang w:val="fr-FR"/>
        </w:rPr>
        <w:t>une façon générale que la détention sous écrou extraditionnel justifie, en principe, l</w:t>
      </w:r>
      <w:r w:rsidR="00162789">
        <w:rPr>
          <w:lang w:val="fr-FR"/>
        </w:rPr>
        <w:t>’</w:t>
      </w:r>
      <w:r w:rsidR="000850C1" w:rsidRPr="000850C1">
        <w:rPr>
          <w:lang w:val="fr-FR"/>
        </w:rPr>
        <w:t>absence de l</w:t>
      </w:r>
      <w:r w:rsidR="00162789">
        <w:rPr>
          <w:lang w:val="fr-FR"/>
        </w:rPr>
        <w:t>’</w:t>
      </w:r>
      <w:r w:rsidR="000850C1" w:rsidRPr="000850C1">
        <w:rPr>
          <w:lang w:val="fr-FR"/>
        </w:rPr>
        <w:t>accusé au procès dans l</w:t>
      </w:r>
      <w:r w:rsidR="00162789">
        <w:rPr>
          <w:lang w:val="fr-FR"/>
        </w:rPr>
        <w:t>’</w:t>
      </w:r>
      <w:r w:rsidR="000850C1" w:rsidRPr="000850C1">
        <w:rPr>
          <w:lang w:val="fr-FR"/>
        </w:rPr>
        <w:t>État qui demande l</w:t>
      </w:r>
      <w:r w:rsidR="00162789">
        <w:rPr>
          <w:lang w:val="fr-FR"/>
        </w:rPr>
        <w:t>’</w:t>
      </w:r>
      <w:r w:rsidR="000850C1" w:rsidRPr="000850C1">
        <w:rPr>
          <w:lang w:val="fr-FR"/>
        </w:rPr>
        <w:t>extradition. Je ne suis pas persuadé que l</w:t>
      </w:r>
      <w:r w:rsidR="00162789">
        <w:rPr>
          <w:lang w:val="fr-FR"/>
        </w:rPr>
        <w:t>’</w:t>
      </w:r>
      <w:r w:rsidR="000850C1" w:rsidRPr="000850C1">
        <w:rPr>
          <w:lang w:val="fr-FR"/>
        </w:rPr>
        <w:t>on puisse admettre un tel principe général. À mon avis, la réponse doit être nuancée et exige une analyse très détaillée du statut de l</w:t>
      </w:r>
      <w:r w:rsidR="00162789">
        <w:rPr>
          <w:lang w:val="fr-FR"/>
        </w:rPr>
        <w:t>’</w:t>
      </w:r>
      <w:r w:rsidR="000850C1" w:rsidRPr="000850C1">
        <w:rPr>
          <w:lang w:val="fr-FR"/>
        </w:rPr>
        <w:t>accusé au regard des droits nationaux de l</w:t>
      </w:r>
      <w:r w:rsidR="00162789">
        <w:rPr>
          <w:lang w:val="fr-FR"/>
        </w:rPr>
        <w:t>’</w:t>
      </w:r>
      <w:r w:rsidR="000850C1" w:rsidRPr="000850C1">
        <w:rPr>
          <w:lang w:val="fr-FR"/>
        </w:rPr>
        <w:t>État requérant et de l</w:t>
      </w:r>
      <w:r w:rsidR="00162789">
        <w:rPr>
          <w:lang w:val="fr-FR"/>
        </w:rPr>
        <w:t>’</w:t>
      </w:r>
      <w:r w:rsidR="000850C1" w:rsidRPr="000850C1">
        <w:rPr>
          <w:lang w:val="fr-FR"/>
        </w:rPr>
        <w:t>État requis ainsi que des circonstances factuelles de chaque affaire.</w:t>
      </w:r>
    </w:p>
    <w:p w:rsidR="000850C1" w:rsidRPr="000850C1" w:rsidRDefault="00A05BE7" w:rsidP="000850C1">
      <w:pPr>
        <w:pStyle w:val="OpiPara"/>
        <w:rPr>
          <w:lang w:val="fr-FR"/>
        </w:rPr>
      </w:pPr>
      <w:r>
        <w:rPr>
          <w:lang w:val="fr-FR"/>
        </w:rPr>
        <w:t>6.  </w:t>
      </w:r>
      <w:r w:rsidR="000850C1" w:rsidRPr="000850C1">
        <w:rPr>
          <w:lang w:val="fr-FR"/>
        </w:rPr>
        <w:t>La majorité argumente par ailleurs que le requérant, en s</w:t>
      </w:r>
      <w:r w:rsidR="00162789">
        <w:rPr>
          <w:lang w:val="fr-FR"/>
        </w:rPr>
        <w:t>’</w:t>
      </w:r>
      <w:r w:rsidR="000850C1" w:rsidRPr="000850C1">
        <w:rPr>
          <w:lang w:val="fr-FR"/>
        </w:rPr>
        <w:t>opposant à l</w:t>
      </w:r>
      <w:r w:rsidR="00162789">
        <w:rPr>
          <w:lang w:val="fr-FR"/>
        </w:rPr>
        <w:t>’</w:t>
      </w:r>
      <w:r w:rsidR="000850C1" w:rsidRPr="000850C1">
        <w:rPr>
          <w:lang w:val="fr-FR"/>
        </w:rPr>
        <w:t>extradition a usé d</w:t>
      </w:r>
      <w:r w:rsidR="00162789">
        <w:rPr>
          <w:lang w:val="fr-FR"/>
        </w:rPr>
        <w:t>’</w:t>
      </w:r>
      <w:r w:rsidR="000850C1" w:rsidRPr="000850C1">
        <w:rPr>
          <w:lang w:val="fr-FR"/>
        </w:rPr>
        <w:t>une faculté reconnue par la loi. Je constate sur ce point que si l</w:t>
      </w:r>
      <w:r w:rsidR="00162789">
        <w:rPr>
          <w:lang w:val="fr-FR"/>
        </w:rPr>
        <w:t>’</w:t>
      </w:r>
      <w:r w:rsidR="000850C1" w:rsidRPr="000850C1">
        <w:rPr>
          <w:lang w:val="fr-FR"/>
        </w:rPr>
        <w:t>article 8 du traité d</w:t>
      </w:r>
      <w:r w:rsidR="00162789">
        <w:rPr>
          <w:lang w:val="fr-FR"/>
        </w:rPr>
        <w:t>’</w:t>
      </w:r>
      <w:r w:rsidR="000850C1" w:rsidRPr="000850C1">
        <w:rPr>
          <w:lang w:val="fr-FR"/>
        </w:rPr>
        <w:t>extradition entre l</w:t>
      </w:r>
      <w:r w:rsidR="00162789">
        <w:rPr>
          <w:lang w:val="fr-FR"/>
        </w:rPr>
        <w:t>’</w:t>
      </w:r>
      <w:r w:rsidR="000850C1" w:rsidRPr="000850C1">
        <w:rPr>
          <w:lang w:val="fr-FR"/>
        </w:rPr>
        <w:t>It</w:t>
      </w:r>
      <w:r>
        <w:rPr>
          <w:lang w:val="fr-FR"/>
        </w:rPr>
        <w:t>alie et le Brésil en date du 17 </w:t>
      </w:r>
      <w:r w:rsidR="000850C1" w:rsidRPr="000850C1">
        <w:rPr>
          <w:lang w:val="fr-FR"/>
        </w:rPr>
        <w:t>octobre 1989 garantit à la personne visée par une demande d</w:t>
      </w:r>
      <w:r w:rsidR="00162789">
        <w:rPr>
          <w:lang w:val="fr-FR"/>
        </w:rPr>
        <w:t>’</w:t>
      </w:r>
      <w:r w:rsidR="000850C1" w:rsidRPr="000850C1">
        <w:rPr>
          <w:lang w:val="fr-FR"/>
        </w:rPr>
        <w:t>extradition le droit de se défendre, les détails de la procédure sont régis par la loi nationale et l</w:t>
      </w:r>
      <w:r w:rsidR="00162789">
        <w:rPr>
          <w:lang w:val="fr-FR"/>
        </w:rPr>
        <w:t>’</w:t>
      </w:r>
      <w:r w:rsidR="000850C1" w:rsidRPr="000850C1">
        <w:rPr>
          <w:lang w:val="fr-FR"/>
        </w:rPr>
        <w:t>opposition à l</w:t>
      </w:r>
      <w:r w:rsidR="00162789">
        <w:rPr>
          <w:lang w:val="fr-FR"/>
        </w:rPr>
        <w:t>’</w:t>
      </w:r>
      <w:r w:rsidR="000850C1" w:rsidRPr="000850C1">
        <w:rPr>
          <w:lang w:val="fr-FR"/>
        </w:rPr>
        <w:t>extradition par le Brésil est une faculté reconnue par la loi brésilienne. Au moment des faits, elle n</w:t>
      </w:r>
      <w:r w:rsidR="00162789">
        <w:rPr>
          <w:lang w:val="fr-FR"/>
        </w:rPr>
        <w:t>’</w:t>
      </w:r>
      <w:r w:rsidR="000850C1" w:rsidRPr="000850C1">
        <w:rPr>
          <w:lang w:val="fr-FR"/>
        </w:rPr>
        <w:t>était pas reconnue comme une faculté par le droit de l</w:t>
      </w:r>
      <w:r w:rsidR="00162789">
        <w:rPr>
          <w:lang w:val="fr-FR"/>
        </w:rPr>
        <w:t>’</w:t>
      </w:r>
      <w:r w:rsidR="000850C1" w:rsidRPr="000850C1">
        <w:rPr>
          <w:lang w:val="fr-FR"/>
        </w:rPr>
        <w:t>État requérant (l</w:t>
      </w:r>
      <w:r w:rsidR="00162789">
        <w:rPr>
          <w:lang w:val="fr-FR"/>
        </w:rPr>
        <w:t>’</w:t>
      </w:r>
      <w:r w:rsidR="000850C1" w:rsidRPr="000850C1">
        <w:rPr>
          <w:lang w:val="fr-FR"/>
        </w:rPr>
        <w:t>Italie), au moins aux fins de l</w:t>
      </w:r>
      <w:r w:rsidR="00162789">
        <w:rPr>
          <w:lang w:val="fr-FR"/>
        </w:rPr>
        <w:t>’</w:t>
      </w:r>
      <w:r w:rsidR="000850C1" w:rsidRPr="000850C1">
        <w:rPr>
          <w:lang w:val="fr-FR"/>
        </w:rPr>
        <w:t>appréciation du caractère justifié ou non de l</w:t>
      </w:r>
      <w:r w:rsidR="00162789">
        <w:rPr>
          <w:lang w:val="fr-FR"/>
        </w:rPr>
        <w:t>’</w:t>
      </w:r>
      <w:r w:rsidR="000850C1" w:rsidRPr="000850C1">
        <w:rPr>
          <w:lang w:val="fr-FR"/>
        </w:rPr>
        <w:t>absence d</w:t>
      </w:r>
      <w:r w:rsidR="00162789">
        <w:rPr>
          <w:lang w:val="fr-FR"/>
        </w:rPr>
        <w:t>’</w:t>
      </w:r>
      <w:r w:rsidR="000850C1" w:rsidRPr="000850C1">
        <w:rPr>
          <w:lang w:val="fr-FR"/>
        </w:rPr>
        <w:t>un accusé à un procès par contumace.</w:t>
      </w:r>
    </w:p>
    <w:sectPr w:rsidR="000850C1" w:rsidRPr="000850C1">
      <w:headerReference w:type="even" r:id="rId16"/>
      <w:headerReference w:type="default" r:id="rId17"/>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49" w:rsidRDefault="000F3049" w:rsidP="00E77CB3">
      <w:r>
        <w:separator/>
      </w:r>
    </w:p>
  </w:endnote>
  <w:endnote w:type="continuationSeparator" w:id="0">
    <w:p w:rsidR="000F3049" w:rsidRDefault="000F3049"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DF" w:rsidRPr="00150BFA" w:rsidRDefault="00BD54DF" w:rsidP="005559D3">
    <w:pPr>
      <w:jc w:val="center"/>
    </w:pPr>
    <w:r>
      <w:rPr>
        <w:noProof/>
        <w:lang w:val="it-IT" w:eastAsia="it-IT"/>
      </w:rPr>
      <w:drawing>
        <wp:inline distT="0" distB="0" distL="0" distR="0" wp14:anchorId="569D2B34" wp14:editId="668F4321">
          <wp:extent cx="771525" cy="619125"/>
          <wp:effectExtent l="0" t="0" r="9525" b="9525"/>
          <wp:docPr id="33" name="Picture 3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D54DF" w:rsidRDefault="00BD54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49" w:rsidRDefault="000F3049" w:rsidP="00E77CB3">
      <w:r>
        <w:separator/>
      </w:r>
    </w:p>
  </w:footnote>
  <w:footnote w:type="continuationSeparator" w:id="0">
    <w:p w:rsidR="000F3049" w:rsidRDefault="000F3049"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DF" w:rsidRPr="005559D3" w:rsidRDefault="00BD54DF" w:rsidP="005559D3">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DF" w:rsidRPr="00A45145" w:rsidRDefault="00BD54DF" w:rsidP="005559D3">
    <w:pPr>
      <w:jc w:val="center"/>
    </w:pPr>
    <w:r>
      <w:rPr>
        <w:noProof/>
        <w:lang w:val="it-IT" w:eastAsia="it-IT"/>
      </w:rPr>
      <w:drawing>
        <wp:inline distT="0" distB="0" distL="0" distR="0" wp14:anchorId="1A16F323" wp14:editId="7D7A445A">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D54DF" w:rsidRDefault="00BD54D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DF" w:rsidRPr="00DE593D" w:rsidRDefault="00BD54DF"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A30535">
      <w:rPr>
        <w:rStyle w:val="Numeropagina"/>
        <w:noProof/>
      </w:rPr>
      <w:t>18</w:t>
    </w:r>
    <w:r>
      <w:rPr>
        <w:rStyle w:val="Numeropagina"/>
      </w:rPr>
      <w:fldChar w:fldCharType="end"/>
    </w:r>
    <w:r w:rsidRPr="00DE593D">
      <w:rPr>
        <w:rStyle w:val="Numeropagina"/>
      </w:rPr>
      <w:tab/>
    </w:r>
    <w:r>
      <w:rPr>
        <w:noProof/>
        <w:lang w:val="en-GB"/>
      </w:rPr>
      <w:t>ARRÊT</w:t>
    </w:r>
    <w:r w:rsidRPr="00DE593D">
      <w:t xml:space="preserve"> </w:t>
    </w:r>
    <w:r>
      <w:t>BARATTA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DF" w:rsidRPr="00DD5146" w:rsidRDefault="00BD54DF" w:rsidP="00C63990">
    <w:pPr>
      <w:pStyle w:val="ECHRHeader"/>
    </w:pPr>
    <w:r w:rsidRPr="00C63990">
      <w:rPr>
        <w:lang w:val="fr-FR"/>
      </w:rPr>
      <w:tab/>
    </w:r>
    <w:r>
      <w:rPr>
        <w:noProof/>
        <w:lang w:val="en-GB"/>
      </w:rPr>
      <w:t>ARRÊT</w:t>
    </w:r>
    <w:r w:rsidRPr="00EB7E63">
      <w:rPr>
        <w:lang w:val="en-GB"/>
      </w:rPr>
      <w:t xml:space="preserve"> </w:t>
    </w:r>
    <w:r>
      <w:rPr>
        <w:lang w:val="en-GB"/>
      </w:rPr>
      <w:t>BARATTA c. ITALIE</w:t>
    </w:r>
    <w:r w:rsidRPr="00EB7E63">
      <w:rPr>
        <w:lang w:val="en-GB"/>
      </w:rPr>
      <w:tab/>
    </w:r>
    <w:r>
      <w:rPr>
        <w:rStyle w:val="Numeropagina"/>
      </w:rPr>
      <w:fldChar w:fldCharType="begin"/>
    </w:r>
    <w:r>
      <w:rPr>
        <w:rStyle w:val="Numeropagina"/>
      </w:rPr>
      <w:instrText xml:space="preserve"> PAGE </w:instrText>
    </w:r>
    <w:r>
      <w:rPr>
        <w:rStyle w:val="Numeropagina"/>
      </w:rPr>
      <w:fldChar w:fldCharType="separate"/>
    </w:r>
    <w:r w:rsidR="00A30535">
      <w:rPr>
        <w:rStyle w:val="Numeropagina"/>
        <w:noProof/>
      </w:rPr>
      <w:t>19</w:t>
    </w:r>
    <w:r>
      <w:rPr>
        <w:rStyle w:val="Numeropa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9B" w:rsidRPr="000850C1" w:rsidRDefault="00064AF8" w:rsidP="00401453">
    <w:pPr>
      <w:pStyle w:val="ECHRHeader"/>
      <w:rPr>
        <w:lang w:val="fr-FR"/>
      </w:rPr>
    </w:pPr>
    <w:r>
      <w:rPr>
        <w:rStyle w:val="Numeropagina"/>
      </w:rPr>
      <w:fldChar w:fldCharType="begin"/>
    </w:r>
    <w:r w:rsidRPr="000850C1">
      <w:rPr>
        <w:rStyle w:val="Numeropagina"/>
        <w:lang w:val="fr-FR"/>
      </w:rPr>
      <w:instrText xml:space="preserve"> PAGE </w:instrText>
    </w:r>
    <w:r>
      <w:rPr>
        <w:rStyle w:val="Numeropagina"/>
      </w:rPr>
      <w:fldChar w:fldCharType="separate"/>
    </w:r>
    <w:r w:rsidR="00162789">
      <w:rPr>
        <w:rStyle w:val="Numeropagina"/>
        <w:noProof/>
        <w:lang w:val="fr-FR"/>
      </w:rPr>
      <w:t>26</w:t>
    </w:r>
    <w:r>
      <w:rPr>
        <w:rStyle w:val="Numeropagina"/>
      </w:rPr>
      <w:fldChar w:fldCharType="end"/>
    </w:r>
    <w:r w:rsidRPr="000850C1">
      <w:rPr>
        <w:lang w:val="fr-FR"/>
      </w:rPr>
      <w:tab/>
      <w:t>ARRÊT BARATTA c. ITALIE – OPINION SÉPARÉE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9B" w:rsidRPr="000850C1" w:rsidRDefault="00064AF8" w:rsidP="005B1D30">
    <w:pPr>
      <w:pStyle w:val="ECHRHeader"/>
      <w:rPr>
        <w:lang w:val="fr-FR"/>
      </w:rPr>
    </w:pPr>
    <w:r>
      <w:tab/>
    </w:r>
    <w:r w:rsidRPr="000850C1">
      <w:rPr>
        <w:lang w:val="fr-FR"/>
      </w:rPr>
      <w:t>ARRÊT BARATTA c. ITALIE – OPINION SÉPARÉE</w:t>
    </w:r>
    <w:r w:rsidRPr="000850C1">
      <w:rPr>
        <w:lang w:val="fr-FR"/>
      </w:rPr>
      <w:tab/>
    </w:r>
    <w:r>
      <w:rPr>
        <w:rStyle w:val="Numeropagina"/>
      </w:rPr>
      <w:fldChar w:fldCharType="begin"/>
    </w:r>
    <w:r w:rsidRPr="000850C1">
      <w:rPr>
        <w:rStyle w:val="Numeropagina"/>
        <w:lang w:val="fr-FR"/>
      </w:rPr>
      <w:instrText xml:space="preserve"> PAGE </w:instrText>
    </w:r>
    <w:r>
      <w:rPr>
        <w:rStyle w:val="Numeropagina"/>
      </w:rPr>
      <w:fldChar w:fldCharType="separate"/>
    </w:r>
    <w:r w:rsidR="00162789">
      <w:rPr>
        <w:rStyle w:val="Numeropagina"/>
        <w:noProof/>
        <w:lang w:val="fr-FR"/>
      </w:rPr>
      <w:t>25</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8D33F2"/>
    <w:rsid w:val="00001C98"/>
    <w:rsid w:val="000041F8"/>
    <w:rsid w:val="000042A8"/>
    <w:rsid w:val="00004308"/>
    <w:rsid w:val="00005BF0"/>
    <w:rsid w:val="00007154"/>
    <w:rsid w:val="000103AE"/>
    <w:rsid w:val="00011C3C"/>
    <w:rsid w:val="00011D69"/>
    <w:rsid w:val="00012AD3"/>
    <w:rsid w:val="00013E56"/>
    <w:rsid w:val="00015C2D"/>
    <w:rsid w:val="00015F00"/>
    <w:rsid w:val="00022B2F"/>
    <w:rsid w:val="00022C1D"/>
    <w:rsid w:val="00034987"/>
    <w:rsid w:val="00036737"/>
    <w:rsid w:val="000401D3"/>
    <w:rsid w:val="00052E66"/>
    <w:rsid w:val="000602DF"/>
    <w:rsid w:val="00061B05"/>
    <w:rsid w:val="000632D5"/>
    <w:rsid w:val="000644EE"/>
    <w:rsid w:val="00064AF8"/>
    <w:rsid w:val="00066A71"/>
    <w:rsid w:val="00081B7B"/>
    <w:rsid w:val="000850C1"/>
    <w:rsid w:val="000925AD"/>
    <w:rsid w:val="00093E59"/>
    <w:rsid w:val="000A24EB"/>
    <w:rsid w:val="000A283F"/>
    <w:rsid w:val="000B6923"/>
    <w:rsid w:val="000C5F2E"/>
    <w:rsid w:val="000C5F3C"/>
    <w:rsid w:val="000C6DCC"/>
    <w:rsid w:val="000D47AA"/>
    <w:rsid w:val="000D5274"/>
    <w:rsid w:val="000D721F"/>
    <w:rsid w:val="000E04C2"/>
    <w:rsid w:val="000E069B"/>
    <w:rsid w:val="000E0E82"/>
    <w:rsid w:val="000E1DC5"/>
    <w:rsid w:val="000E223F"/>
    <w:rsid w:val="000E7D45"/>
    <w:rsid w:val="000F00EF"/>
    <w:rsid w:val="000F1DC0"/>
    <w:rsid w:val="000F3049"/>
    <w:rsid w:val="000F7851"/>
    <w:rsid w:val="00104E23"/>
    <w:rsid w:val="001067ED"/>
    <w:rsid w:val="001077F9"/>
    <w:rsid w:val="00111B0C"/>
    <w:rsid w:val="001127F3"/>
    <w:rsid w:val="00115D51"/>
    <w:rsid w:val="00120D6C"/>
    <w:rsid w:val="001257EC"/>
    <w:rsid w:val="00133D33"/>
    <w:rsid w:val="00134D64"/>
    <w:rsid w:val="00135A30"/>
    <w:rsid w:val="0013612C"/>
    <w:rsid w:val="00137FF6"/>
    <w:rsid w:val="00141650"/>
    <w:rsid w:val="00151A8E"/>
    <w:rsid w:val="0016174F"/>
    <w:rsid w:val="00162789"/>
    <w:rsid w:val="00162A12"/>
    <w:rsid w:val="00166530"/>
    <w:rsid w:val="0016779F"/>
    <w:rsid w:val="001832BD"/>
    <w:rsid w:val="00184416"/>
    <w:rsid w:val="001864B2"/>
    <w:rsid w:val="001943B5"/>
    <w:rsid w:val="001947EE"/>
    <w:rsid w:val="00194A85"/>
    <w:rsid w:val="00195134"/>
    <w:rsid w:val="00197EB0"/>
    <w:rsid w:val="001A145B"/>
    <w:rsid w:val="001A674C"/>
    <w:rsid w:val="001B3B24"/>
    <w:rsid w:val="001C0F98"/>
    <w:rsid w:val="001C2A42"/>
    <w:rsid w:val="001C5C5D"/>
    <w:rsid w:val="001D2E26"/>
    <w:rsid w:val="001D3782"/>
    <w:rsid w:val="001D5F23"/>
    <w:rsid w:val="001D63ED"/>
    <w:rsid w:val="001D7348"/>
    <w:rsid w:val="001D7EC0"/>
    <w:rsid w:val="001E035B"/>
    <w:rsid w:val="001E0961"/>
    <w:rsid w:val="001E17BA"/>
    <w:rsid w:val="001E3EAE"/>
    <w:rsid w:val="001E6F32"/>
    <w:rsid w:val="001F1365"/>
    <w:rsid w:val="001F2145"/>
    <w:rsid w:val="001F576E"/>
    <w:rsid w:val="001F6262"/>
    <w:rsid w:val="001F64B7"/>
    <w:rsid w:val="001F67B0"/>
    <w:rsid w:val="001F7B3D"/>
    <w:rsid w:val="00203780"/>
    <w:rsid w:val="00205F9F"/>
    <w:rsid w:val="00210338"/>
    <w:rsid w:val="002115FC"/>
    <w:rsid w:val="0021423C"/>
    <w:rsid w:val="0021617B"/>
    <w:rsid w:val="00221183"/>
    <w:rsid w:val="00230D00"/>
    <w:rsid w:val="00231DF7"/>
    <w:rsid w:val="00231FD1"/>
    <w:rsid w:val="002339E0"/>
    <w:rsid w:val="00233CF8"/>
    <w:rsid w:val="0023575D"/>
    <w:rsid w:val="00237148"/>
    <w:rsid w:val="0024222D"/>
    <w:rsid w:val="0024409F"/>
    <w:rsid w:val="00244B0E"/>
    <w:rsid w:val="00244F6C"/>
    <w:rsid w:val="002532C5"/>
    <w:rsid w:val="00260C03"/>
    <w:rsid w:val="00263177"/>
    <w:rsid w:val="0026540E"/>
    <w:rsid w:val="002705D9"/>
    <w:rsid w:val="00271C69"/>
    <w:rsid w:val="00275123"/>
    <w:rsid w:val="002757BA"/>
    <w:rsid w:val="00282240"/>
    <w:rsid w:val="00284AD0"/>
    <w:rsid w:val="002948AD"/>
    <w:rsid w:val="002A01CC"/>
    <w:rsid w:val="002A61B1"/>
    <w:rsid w:val="002A663C"/>
    <w:rsid w:val="002B3561"/>
    <w:rsid w:val="002B444B"/>
    <w:rsid w:val="002B5887"/>
    <w:rsid w:val="002C0E27"/>
    <w:rsid w:val="002C3040"/>
    <w:rsid w:val="002D022D"/>
    <w:rsid w:val="002D24BB"/>
    <w:rsid w:val="002E02CB"/>
    <w:rsid w:val="002E3C1F"/>
    <w:rsid w:val="002E43E8"/>
    <w:rsid w:val="002F22A6"/>
    <w:rsid w:val="002F2AF7"/>
    <w:rsid w:val="002F3727"/>
    <w:rsid w:val="002F4FDB"/>
    <w:rsid w:val="002F7E1C"/>
    <w:rsid w:val="00301A75"/>
    <w:rsid w:val="00302F70"/>
    <w:rsid w:val="0030336F"/>
    <w:rsid w:val="0030375E"/>
    <w:rsid w:val="0030782A"/>
    <w:rsid w:val="00312A30"/>
    <w:rsid w:val="00320F72"/>
    <w:rsid w:val="0032463E"/>
    <w:rsid w:val="00326224"/>
    <w:rsid w:val="0033554E"/>
    <w:rsid w:val="00337EE4"/>
    <w:rsid w:val="00340FFD"/>
    <w:rsid w:val="00347B33"/>
    <w:rsid w:val="003506B1"/>
    <w:rsid w:val="00354921"/>
    <w:rsid w:val="00354F8C"/>
    <w:rsid w:val="00356AC7"/>
    <w:rsid w:val="003609FA"/>
    <w:rsid w:val="00363114"/>
    <w:rsid w:val="003710C8"/>
    <w:rsid w:val="003750BE"/>
    <w:rsid w:val="00375A0F"/>
    <w:rsid w:val="003768D5"/>
    <w:rsid w:val="00381E71"/>
    <w:rsid w:val="0038455F"/>
    <w:rsid w:val="00387B9D"/>
    <w:rsid w:val="0039364F"/>
    <w:rsid w:val="00396686"/>
    <w:rsid w:val="0039778E"/>
    <w:rsid w:val="003A0514"/>
    <w:rsid w:val="003B2814"/>
    <w:rsid w:val="003B4941"/>
    <w:rsid w:val="003C449E"/>
    <w:rsid w:val="003C48E2"/>
    <w:rsid w:val="003C5714"/>
    <w:rsid w:val="003C6B9F"/>
    <w:rsid w:val="003C6E2A"/>
    <w:rsid w:val="003D0299"/>
    <w:rsid w:val="003E2BAF"/>
    <w:rsid w:val="003E6D80"/>
    <w:rsid w:val="003F05FA"/>
    <w:rsid w:val="003F244A"/>
    <w:rsid w:val="003F30B8"/>
    <w:rsid w:val="003F4C45"/>
    <w:rsid w:val="003F5F7B"/>
    <w:rsid w:val="003F7D64"/>
    <w:rsid w:val="00401C3C"/>
    <w:rsid w:val="004024B0"/>
    <w:rsid w:val="004036B4"/>
    <w:rsid w:val="00414300"/>
    <w:rsid w:val="00414679"/>
    <w:rsid w:val="00425C67"/>
    <w:rsid w:val="00427E7A"/>
    <w:rsid w:val="00434EC4"/>
    <w:rsid w:val="00436C49"/>
    <w:rsid w:val="00443ED1"/>
    <w:rsid w:val="00445366"/>
    <w:rsid w:val="00447F5B"/>
    <w:rsid w:val="004501B5"/>
    <w:rsid w:val="00455E44"/>
    <w:rsid w:val="00461DB0"/>
    <w:rsid w:val="00463926"/>
    <w:rsid w:val="00464C9A"/>
    <w:rsid w:val="004741F5"/>
    <w:rsid w:val="00474F3D"/>
    <w:rsid w:val="00477E3A"/>
    <w:rsid w:val="00483E5F"/>
    <w:rsid w:val="00485FF9"/>
    <w:rsid w:val="004907F0"/>
    <w:rsid w:val="004913D7"/>
    <w:rsid w:val="0049140B"/>
    <w:rsid w:val="004923A5"/>
    <w:rsid w:val="004928ED"/>
    <w:rsid w:val="004953D6"/>
    <w:rsid w:val="00496BFB"/>
    <w:rsid w:val="004A15C7"/>
    <w:rsid w:val="004B013B"/>
    <w:rsid w:val="004B112B"/>
    <w:rsid w:val="004B42F8"/>
    <w:rsid w:val="004B4930"/>
    <w:rsid w:val="004C01E4"/>
    <w:rsid w:val="004C086C"/>
    <w:rsid w:val="004C1F56"/>
    <w:rsid w:val="004C27BC"/>
    <w:rsid w:val="004D15F3"/>
    <w:rsid w:val="004D3692"/>
    <w:rsid w:val="004D5311"/>
    <w:rsid w:val="004D5DCC"/>
    <w:rsid w:val="004D6DCB"/>
    <w:rsid w:val="004E211B"/>
    <w:rsid w:val="004E47E5"/>
    <w:rsid w:val="004E4E55"/>
    <w:rsid w:val="004F04A2"/>
    <w:rsid w:val="004F10AF"/>
    <w:rsid w:val="004F11A4"/>
    <w:rsid w:val="004F2389"/>
    <w:rsid w:val="004F2979"/>
    <w:rsid w:val="004F304D"/>
    <w:rsid w:val="004F4D22"/>
    <w:rsid w:val="004F61BE"/>
    <w:rsid w:val="004F66B1"/>
    <w:rsid w:val="004F73E8"/>
    <w:rsid w:val="00511C07"/>
    <w:rsid w:val="0051458B"/>
    <w:rsid w:val="005173A6"/>
    <w:rsid w:val="00520BAA"/>
    <w:rsid w:val="00525208"/>
    <w:rsid w:val="005257A5"/>
    <w:rsid w:val="005264C0"/>
    <w:rsid w:val="00526A8A"/>
    <w:rsid w:val="00531DF2"/>
    <w:rsid w:val="00536A63"/>
    <w:rsid w:val="005416DE"/>
    <w:rsid w:val="005442EE"/>
    <w:rsid w:val="005450E9"/>
    <w:rsid w:val="00547353"/>
    <w:rsid w:val="005474E7"/>
    <w:rsid w:val="005512A3"/>
    <w:rsid w:val="005559D3"/>
    <w:rsid w:val="005578CE"/>
    <w:rsid w:val="00562781"/>
    <w:rsid w:val="0057271C"/>
    <w:rsid w:val="00572845"/>
    <w:rsid w:val="00592772"/>
    <w:rsid w:val="0059574A"/>
    <w:rsid w:val="00596468"/>
    <w:rsid w:val="005A02CB"/>
    <w:rsid w:val="005A113B"/>
    <w:rsid w:val="005A1B9B"/>
    <w:rsid w:val="005A4DBA"/>
    <w:rsid w:val="005A6751"/>
    <w:rsid w:val="005A6902"/>
    <w:rsid w:val="005B092E"/>
    <w:rsid w:val="005B152C"/>
    <w:rsid w:val="005B1EE0"/>
    <w:rsid w:val="005B2B24"/>
    <w:rsid w:val="005B4425"/>
    <w:rsid w:val="005B4B94"/>
    <w:rsid w:val="005C0227"/>
    <w:rsid w:val="005C1E90"/>
    <w:rsid w:val="005C3EE8"/>
    <w:rsid w:val="005D2A3A"/>
    <w:rsid w:val="005D34F9"/>
    <w:rsid w:val="005D4190"/>
    <w:rsid w:val="005D67A3"/>
    <w:rsid w:val="005E2988"/>
    <w:rsid w:val="005E3085"/>
    <w:rsid w:val="005E37C6"/>
    <w:rsid w:val="005F51E1"/>
    <w:rsid w:val="005F5B89"/>
    <w:rsid w:val="00611C80"/>
    <w:rsid w:val="006138FF"/>
    <w:rsid w:val="00620692"/>
    <w:rsid w:val="00621EBA"/>
    <w:rsid w:val="00623420"/>
    <w:rsid w:val="006242CA"/>
    <w:rsid w:val="00627507"/>
    <w:rsid w:val="00633717"/>
    <w:rsid w:val="006344E1"/>
    <w:rsid w:val="00636A39"/>
    <w:rsid w:val="00652FF8"/>
    <w:rsid w:val="006545C4"/>
    <w:rsid w:val="00661971"/>
    <w:rsid w:val="00661CE8"/>
    <w:rsid w:val="006623D9"/>
    <w:rsid w:val="00664845"/>
    <w:rsid w:val="0066550C"/>
    <w:rsid w:val="00667B26"/>
    <w:rsid w:val="006716F2"/>
    <w:rsid w:val="00680821"/>
    <w:rsid w:val="00682BF2"/>
    <w:rsid w:val="006859CE"/>
    <w:rsid w:val="00691270"/>
    <w:rsid w:val="00694A2E"/>
    <w:rsid w:val="00694BA8"/>
    <w:rsid w:val="00695260"/>
    <w:rsid w:val="006A037C"/>
    <w:rsid w:val="006A36F4"/>
    <w:rsid w:val="006A406F"/>
    <w:rsid w:val="006A5D3A"/>
    <w:rsid w:val="006B33D5"/>
    <w:rsid w:val="006C1BCB"/>
    <w:rsid w:val="006C23D4"/>
    <w:rsid w:val="006C7BB0"/>
    <w:rsid w:val="006D3237"/>
    <w:rsid w:val="006E0026"/>
    <w:rsid w:val="006E1E70"/>
    <w:rsid w:val="006E2E37"/>
    <w:rsid w:val="006E3CF1"/>
    <w:rsid w:val="006E7E80"/>
    <w:rsid w:val="006F48CA"/>
    <w:rsid w:val="006F64DD"/>
    <w:rsid w:val="00715127"/>
    <w:rsid w:val="00715E8E"/>
    <w:rsid w:val="007179E7"/>
    <w:rsid w:val="00723580"/>
    <w:rsid w:val="00723755"/>
    <w:rsid w:val="0073136C"/>
    <w:rsid w:val="00731F0F"/>
    <w:rsid w:val="00733250"/>
    <w:rsid w:val="00741404"/>
    <w:rsid w:val="007449E5"/>
    <w:rsid w:val="00747FF0"/>
    <w:rsid w:val="007501D0"/>
    <w:rsid w:val="0076108C"/>
    <w:rsid w:val="00763FFE"/>
    <w:rsid w:val="00764D4E"/>
    <w:rsid w:val="00765A1F"/>
    <w:rsid w:val="00771D60"/>
    <w:rsid w:val="00772968"/>
    <w:rsid w:val="00773416"/>
    <w:rsid w:val="007740A4"/>
    <w:rsid w:val="00775B6D"/>
    <w:rsid w:val="00776D68"/>
    <w:rsid w:val="00777653"/>
    <w:rsid w:val="007850EE"/>
    <w:rsid w:val="00785B95"/>
    <w:rsid w:val="00790E96"/>
    <w:rsid w:val="00793366"/>
    <w:rsid w:val="007952DA"/>
    <w:rsid w:val="007A1870"/>
    <w:rsid w:val="007A6C76"/>
    <w:rsid w:val="007A716F"/>
    <w:rsid w:val="007B270A"/>
    <w:rsid w:val="007B4B56"/>
    <w:rsid w:val="007C0695"/>
    <w:rsid w:val="007C0952"/>
    <w:rsid w:val="007C419A"/>
    <w:rsid w:val="007C4CC8"/>
    <w:rsid w:val="007C5426"/>
    <w:rsid w:val="007C5798"/>
    <w:rsid w:val="007D2E0F"/>
    <w:rsid w:val="007D4832"/>
    <w:rsid w:val="007E21B2"/>
    <w:rsid w:val="007E2C4E"/>
    <w:rsid w:val="007E3ED4"/>
    <w:rsid w:val="007E48C2"/>
    <w:rsid w:val="007F1905"/>
    <w:rsid w:val="007F6D04"/>
    <w:rsid w:val="00801300"/>
    <w:rsid w:val="00802C64"/>
    <w:rsid w:val="00805E52"/>
    <w:rsid w:val="008061D0"/>
    <w:rsid w:val="00810B38"/>
    <w:rsid w:val="008204C7"/>
    <w:rsid w:val="00820992"/>
    <w:rsid w:val="00823602"/>
    <w:rsid w:val="008255F5"/>
    <w:rsid w:val="008270DE"/>
    <w:rsid w:val="0083014E"/>
    <w:rsid w:val="008304A4"/>
    <w:rsid w:val="0083214A"/>
    <w:rsid w:val="00834220"/>
    <w:rsid w:val="0084351A"/>
    <w:rsid w:val="00845723"/>
    <w:rsid w:val="00851EF9"/>
    <w:rsid w:val="008577FD"/>
    <w:rsid w:val="00860B03"/>
    <w:rsid w:val="0086497A"/>
    <w:rsid w:val="008713A1"/>
    <w:rsid w:val="008754AB"/>
    <w:rsid w:val="0088060C"/>
    <w:rsid w:val="00886D5F"/>
    <w:rsid w:val="00893576"/>
    <w:rsid w:val="00893E73"/>
    <w:rsid w:val="008A2AB0"/>
    <w:rsid w:val="008B02DC"/>
    <w:rsid w:val="008B32B3"/>
    <w:rsid w:val="008B57CE"/>
    <w:rsid w:val="008C165E"/>
    <w:rsid w:val="008C26DE"/>
    <w:rsid w:val="008C7F2B"/>
    <w:rsid w:val="008D0898"/>
    <w:rsid w:val="008D2225"/>
    <w:rsid w:val="008D33F2"/>
    <w:rsid w:val="008D4752"/>
    <w:rsid w:val="008D488E"/>
    <w:rsid w:val="008D7298"/>
    <w:rsid w:val="008E271C"/>
    <w:rsid w:val="008E3D49"/>
    <w:rsid w:val="008E418E"/>
    <w:rsid w:val="008E5BC6"/>
    <w:rsid w:val="008E6A25"/>
    <w:rsid w:val="008F309E"/>
    <w:rsid w:val="008F5193"/>
    <w:rsid w:val="008F5408"/>
    <w:rsid w:val="008F6DD8"/>
    <w:rsid w:val="009013A7"/>
    <w:rsid w:val="009017FB"/>
    <w:rsid w:val="009017FC"/>
    <w:rsid w:val="0090506B"/>
    <w:rsid w:val="009050C9"/>
    <w:rsid w:val="009066FC"/>
    <w:rsid w:val="009140A3"/>
    <w:rsid w:val="009144A2"/>
    <w:rsid w:val="0091510C"/>
    <w:rsid w:val="0092369D"/>
    <w:rsid w:val="00924CE7"/>
    <w:rsid w:val="009259AC"/>
    <w:rsid w:val="00926AD5"/>
    <w:rsid w:val="00926F38"/>
    <w:rsid w:val="00934301"/>
    <w:rsid w:val="0093500E"/>
    <w:rsid w:val="00936C2D"/>
    <w:rsid w:val="00936CD1"/>
    <w:rsid w:val="00941747"/>
    <w:rsid w:val="00941EFB"/>
    <w:rsid w:val="009448F9"/>
    <w:rsid w:val="0094537B"/>
    <w:rsid w:val="009474DE"/>
    <w:rsid w:val="00947AFB"/>
    <w:rsid w:val="00951D7D"/>
    <w:rsid w:val="00962209"/>
    <w:rsid w:val="009630C7"/>
    <w:rsid w:val="00972B55"/>
    <w:rsid w:val="009743B7"/>
    <w:rsid w:val="0098228B"/>
    <w:rsid w:val="009828DA"/>
    <w:rsid w:val="00985BAB"/>
    <w:rsid w:val="009A0964"/>
    <w:rsid w:val="009A5679"/>
    <w:rsid w:val="009A795C"/>
    <w:rsid w:val="009B1B5F"/>
    <w:rsid w:val="009B6673"/>
    <w:rsid w:val="009C02AE"/>
    <w:rsid w:val="009C191B"/>
    <w:rsid w:val="009C2BD6"/>
    <w:rsid w:val="009E1F32"/>
    <w:rsid w:val="009E776C"/>
    <w:rsid w:val="00A00144"/>
    <w:rsid w:val="00A04DB0"/>
    <w:rsid w:val="00A05BE7"/>
    <w:rsid w:val="00A1726E"/>
    <w:rsid w:val="00A204CF"/>
    <w:rsid w:val="00A21487"/>
    <w:rsid w:val="00A23D49"/>
    <w:rsid w:val="00A27004"/>
    <w:rsid w:val="00A30535"/>
    <w:rsid w:val="00A30C29"/>
    <w:rsid w:val="00A33BFE"/>
    <w:rsid w:val="00A34DD6"/>
    <w:rsid w:val="00A36819"/>
    <w:rsid w:val="00A36989"/>
    <w:rsid w:val="00A43628"/>
    <w:rsid w:val="00A43EEB"/>
    <w:rsid w:val="00A53834"/>
    <w:rsid w:val="00A54192"/>
    <w:rsid w:val="00A6035E"/>
    <w:rsid w:val="00A6144C"/>
    <w:rsid w:val="00A64DC9"/>
    <w:rsid w:val="00A66617"/>
    <w:rsid w:val="00A671F8"/>
    <w:rsid w:val="00A673A4"/>
    <w:rsid w:val="00A724AE"/>
    <w:rsid w:val="00A73329"/>
    <w:rsid w:val="00A7405B"/>
    <w:rsid w:val="00A74BC1"/>
    <w:rsid w:val="00A82359"/>
    <w:rsid w:val="00A865D2"/>
    <w:rsid w:val="00A870D9"/>
    <w:rsid w:val="00A94C20"/>
    <w:rsid w:val="00AA227F"/>
    <w:rsid w:val="00AA3BC7"/>
    <w:rsid w:val="00AA754A"/>
    <w:rsid w:val="00AB099E"/>
    <w:rsid w:val="00AB4328"/>
    <w:rsid w:val="00AC0824"/>
    <w:rsid w:val="00AC6094"/>
    <w:rsid w:val="00AD412E"/>
    <w:rsid w:val="00AE0A2E"/>
    <w:rsid w:val="00AE354C"/>
    <w:rsid w:val="00AE6A00"/>
    <w:rsid w:val="00AF4B07"/>
    <w:rsid w:val="00AF6186"/>
    <w:rsid w:val="00AF7A3A"/>
    <w:rsid w:val="00B0096E"/>
    <w:rsid w:val="00B160DB"/>
    <w:rsid w:val="00B20836"/>
    <w:rsid w:val="00B235BB"/>
    <w:rsid w:val="00B26432"/>
    <w:rsid w:val="00B27A44"/>
    <w:rsid w:val="00B30BBF"/>
    <w:rsid w:val="00B33C03"/>
    <w:rsid w:val="00B34D83"/>
    <w:rsid w:val="00B353FB"/>
    <w:rsid w:val="00B44E56"/>
    <w:rsid w:val="00B46543"/>
    <w:rsid w:val="00B47D33"/>
    <w:rsid w:val="00B51559"/>
    <w:rsid w:val="00B52BE0"/>
    <w:rsid w:val="00B54133"/>
    <w:rsid w:val="00B667DE"/>
    <w:rsid w:val="00B701ED"/>
    <w:rsid w:val="00B71998"/>
    <w:rsid w:val="00B8086C"/>
    <w:rsid w:val="00B817EB"/>
    <w:rsid w:val="00B8567B"/>
    <w:rsid w:val="00B861B4"/>
    <w:rsid w:val="00B86DFE"/>
    <w:rsid w:val="00B90990"/>
    <w:rsid w:val="00B922FF"/>
    <w:rsid w:val="00B9281E"/>
    <w:rsid w:val="00B93925"/>
    <w:rsid w:val="00B95187"/>
    <w:rsid w:val="00B960BE"/>
    <w:rsid w:val="00B9776F"/>
    <w:rsid w:val="00BA2D55"/>
    <w:rsid w:val="00BA56DD"/>
    <w:rsid w:val="00BA71B1"/>
    <w:rsid w:val="00BB0637"/>
    <w:rsid w:val="00BB345F"/>
    <w:rsid w:val="00BB68EA"/>
    <w:rsid w:val="00BC1C27"/>
    <w:rsid w:val="00BC3263"/>
    <w:rsid w:val="00BC35FD"/>
    <w:rsid w:val="00BC4A8F"/>
    <w:rsid w:val="00BC4F70"/>
    <w:rsid w:val="00BC6BBF"/>
    <w:rsid w:val="00BD1572"/>
    <w:rsid w:val="00BD54DF"/>
    <w:rsid w:val="00BD5669"/>
    <w:rsid w:val="00BE14E3"/>
    <w:rsid w:val="00BE3774"/>
    <w:rsid w:val="00BE41E5"/>
    <w:rsid w:val="00BE6CDD"/>
    <w:rsid w:val="00BF4109"/>
    <w:rsid w:val="00BF4CC3"/>
    <w:rsid w:val="00C035E7"/>
    <w:rsid w:val="00C054C7"/>
    <w:rsid w:val="00C057B5"/>
    <w:rsid w:val="00C06E15"/>
    <w:rsid w:val="00C1262B"/>
    <w:rsid w:val="00C12C52"/>
    <w:rsid w:val="00C16925"/>
    <w:rsid w:val="00C22687"/>
    <w:rsid w:val="00C32E4D"/>
    <w:rsid w:val="00C333A0"/>
    <w:rsid w:val="00C36408"/>
    <w:rsid w:val="00C36A81"/>
    <w:rsid w:val="00C41974"/>
    <w:rsid w:val="00C50855"/>
    <w:rsid w:val="00C53F4A"/>
    <w:rsid w:val="00C54125"/>
    <w:rsid w:val="00C55B54"/>
    <w:rsid w:val="00C6098E"/>
    <w:rsid w:val="00C611D8"/>
    <w:rsid w:val="00C6152C"/>
    <w:rsid w:val="00C63990"/>
    <w:rsid w:val="00C64EF6"/>
    <w:rsid w:val="00C74810"/>
    <w:rsid w:val="00C80EE5"/>
    <w:rsid w:val="00C8225D"/>
    <w:rsid w:val="00C83BF4"/>
    <w:rsid w:val="00C84519"/>
    <w:rsid w:val="00C90D68"/>
    <w:rsid w:val="00C939FE"/>
    <w:rsid w:val="00CA337F"/>
    <w:rsid w:val="00CA4BDA"/>
    <w:rsid w:val="00CA564D"/>
    <w:rsid w:val="00CB1F66"/>
    <w:rsid w:val="00CB2951"/>
    <w:rsid w:val="00CC71E6"/>
    <w:rsid w:val="00CD282B"/>
    <w:rsid w:val="00CD4C35"/>
    <w:rsid w:val="00CD7369"/>
    <w:rsid w:val="00CE0B0E"/>
    <w:rsid w:val="00CE3831"/>
    <w:rsid w:val="00D00ABB"/>
    <w:rsid w:val="00D02EEC"/>
    <w:rsid w:val="00D03551"/>
    <w:rsid w:val="00D05235"/>
    <w:rsid w:val="00D06A63"/>
    <w:rsid w:val="00D07E0E"/>
    <w:rsid w:val="00D11478"/>
    <w:rsid w:val="00D11F9A"/>
    <w:rsid w:val="00D15ED0"/>
    <w:rsid w:val="00D21B3E"/>
    <w:rsid w:val="00D21FED"/>
    <w:rsid w:val="00D24251"/>
    <w:rsid w:val="00D250D7"/>
    <w:rsid w:val="00D26F52"/>
    <w:rsid w:val="00D329E6"/>
    <w:rsid w:val="00D343E2"/>
    <w:rsid w:val="00D361A2"/>
    <w:rsid w:val="00D37C1F"/>
    <w:rsid w:val="00D42AFF"/>
    <w:rsid w:val="00D44C2E"/>
    <w:rsid w:val="00D45414"/>
    <w:rsid w:val="00D566BD"/>
    <w:rsid w:val="00D56745"/>
    <w:rsid w:val="00D576CF"/>
    <w:rsid w:val="00D57A4D"/>
    <w:rsid w:val="00D60AA7"/>
    <w:rsid w:val="00D6435F"/>
    <w:rsid w:val="00D75E28"/>
    <w:rsid w:val="00D772C2"/>
    <w:rsid w:val="00D8008E"/>
    <w:rsid w:val="00D82C45"/>
    <w:rsid w:val="00D908A8"/>
    <w:rsid w:val="00D977B6"/>
    <w:rsid w:val="00DA1781"/>
    <w:rsid w:val="00DA4A31"/>
    <w:rsid w:val="00DA7B04"/>
    <w:rsid w:val="00DB159D"/>
    <w:rsid w:val="00DB1735"/>
    <w:rsid w:val="00DB2403"/>
    <w:rsid w:val="00DB36C2"/>
    <w:rsid w:val="00DC169B"/>
    <w:rsid w:val="00DC2AB9"/>
    <w:rsid w:val="00DC603A"/>
    <w:rsid w:val="00DC63F0"/>
    <w:rsid w:val="00DC68D5"/>
    <w:rsid w:val="00DC6EB7"/>
    <w:rsid w:val="00DD4AAB"/>
    <w:rsid w:val="00DD5146"/>
    <w:rsid w:val="00DD6EE5"/>
    <w:rsid w:val="00DE280A"/>
    <w:rsid w:val="00DE386C"/>
    <w:rsid w:val="00DE4D35"/>
    <w:rsid w:val="00DE792E"/>
    <w:rsid w:val="00DF098B"/>
    <w:rsid w:val="00DF11C4"/>
    <w:rsid w:val="00DF210C"/>
    <w:rsid w:val="00DF4B6A"/>
    <w:rsid w:val="00E00D01"/>
    <w:rsid w:val="00E01E65"/>
    <w:rsid w:val="00E02C09"/>
    <w:rsid w:val="00E0459E"/>
    <w:rsid w:val="00E04D59"/>
    <w:rsid w:val="00E07DA1"/>
    <w:rsid w:val="00E123CB"/>
    <w:rsid w:val="00E20E13"/>
    <w:rsid w:val="00E21DBC"/>
    <w:rsid w:val="00E275D7"/>
    <w:rsid w:val="00E27DBE"/>
    <w:rsid w:val="00E3117C"/>
    <w:rsid w:val="00E32AB1"/>
    <w:rsid w:val="00E34052"/>
    <w:rsid w:val="00E36C71"/>
    <w:rsid w:val="00E40404"/>
    <w:rsid w:val="00E40595"/>
    <w:rsid w:val="00E44D68"/>
    <w:rsid w:val="00E4529A"/>
    <w:rsid w:val="00E459C6"/>
    <w:rsid w:val="00E47589"/>
    <w:rsid w:val="00E64915"/>
    <w:rsid w:val="00E661D4"/>
    <w:rsid w:val="00E70091"/>
    <w:rsid w:val="00E70E86"/>
    <w:rsid w:val="00E720F5"/>
    <w:rsid w:val="00E72692"/>
    <w:rsid w:val="00E76D47"/>
    <w:rsid w:val="00E77CB3"/>
    <w:rsid w:val="00E849F7"/>
    <w:rsid w:val="00E90302"/>
    <w:rsid w:val="00E937BB"/>
    <w:rsid w:val="00E97396"/>
    <w:rsid w:val="00EA185E"/>
    <w:rsid w:val="00EA2BEB"/>
    <w:rsid w:val="00EA592A"/>
    <w:rsid w:val="00EB14E4"/>
    <w:rsid w:val="00EB32A5"/>
    <w:rsid w:val="00EB34ED"/>
    <w:rsid w:val="00EB7BE0"/>
    <w:rsid w:val="00EB7E63"/>
    <w:rsid w:val="00EC2DED"/>
    <w:rsid w:val="00EC315E"/>
    <w:rsid w:val="00ED077C"/>
    <w:rsid w:val="00ED1190"/>
    <w:rsid w:val="00ED6544"/>
    <w:rsid w:val="00EE0277"/>
    <w:rsid w:val="00EE3E00"/>
    <w:rsid w:val="00EE5DD2"/>
    <w:rsid w:val="00EF63C2"/>
    <w:rsid w:val="00F00A79"/>
    <w:rsid w:val="00F00E86"/>
    <w:rsid w:val="00F0181B"/>
    <w:rsid w:val="00F0214B"/>
    <w:rsid w:val="00F07C1E"/>
    <w:rsid w:val="00F105DB"/>
    <w:rsid w:val="00F10616"/>
    <w:rsid w:val="00F132BC"/>
    <w:rsid w:val="00F13D80"/>
    <w:rsid w:val="00F16AAA"/>
    <w:rsid w:val="00F21161"/>
    <w:rsid w:val="00F218EF"/>
    <w:rsid w:val="00F21BC7"/>
    <w:rsid w:val="00F23C60"/>
    <w:rsid w:val="00F266A2"/>
    <w:rsid w:val="00F32269"/>
    <w:rsid w:val="00F413C9"/>
    <w:rsid w:val="00F56A6F"/>
    <w:rsid w:val="00F5709C"/>
    <w:rsid w:val="00F64EF1"/>
    <w:rsid w:val="00F76B81"/>
    <w:rsid w:val="00F8765F"/>
    <w:rsid w:val="00F90767"/>
    <w:rsid w:val="00F9646D"/>
    <w:rsid w:val="00FA685B"/>
    <w:rsid w:val="00FB0C01"/>
    <w:rsid w:val="00FC18F2"/>
    <w:rsid w:val="00FC39E5"/>
    <w:rsid w:val="00FC3A78"/>
    <w:rsid w:val="00FD05C6"/>
    <w:rsid w:val="00FD1005"/>
    <w:rsid w:val="00FD1384"/>
    <w:rsid w:val="00FD6C75"/>
    <w:rsid w:val="00FD75FE"/>
    <w:rsid w:val="00FE6F24"/>
    <w:rsid w:val="00FE71B3"/>
    <w:rsid w:val="00FE75C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A795C"/>
    <w:pPr>
      <w:jc w:val="both"/>
    </w:pPr>
    <w:rPr>
      <w:rFonts w:eastAsiaTheme="minorEastAsia"/>
      <w:sz w:val="24"/>
    </w:rPr>
  </w:style>
  <w:style w:type="paragraph" w:styleId="Titolo1">
    <w:name w:val="heading 1"/>
    <w:basedOn w:val="Normale"/>
    <w:next w:val="Normale"/>
    <w:link w:val="Titolo1Carattere"/>
    <w:uiPriority w:val="99"/>
    <w:semiHidden/>
    <w:rsid w:val="009A795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A795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A795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A795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A795C"/>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A795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A795C"/>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A795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A795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A79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95C"/>
    <w:rPr>
      <w:rFonts w:ascii="Tahoma" w:eastAsiaTheme="minorEastAsia" w:hAnsi="Tahoma" w:cs="Tahoma"/>
      <w:sz w:val="16"/>
      <w:szCs w:val="16"/>
    </w:rPr>
  </w:style>
  <w:style w:type="character" w:styleId="Titolodellibro">
    <w:name w:val="Book Title"/>
    <w:uiPriority w:val="99"/>
    <w:semiHidden/>
    <w:qFormat/>
    <w:rsid w:val="009A795C"/>
    <w:rPr>
      <w:i/>
      <w:iCs/>
      <w:smallCaps/>
      <w:spacing w:val="5"/>
    </w:rPr>
  </w:style>
  <w:style w:type="paragraph" w:customStyle="1" w:styleId="ECHRHeader">
    <w:name w:val="ECHR_Header"/>
    <w:aliases w:val="Ju_Header"/>
    <w:basedOn w:val="Intestazione"/>
    <w:uiPriority w:val="4"/>
    <w:qFormat/>
    <w:rsid w:val="009A795C"/>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9A795C"/>
    <w:pPr>
      <w:jc w:val="left"/>
    </w:pPr>
    <w:rPr>
      <w:sz w:val="8"/>
    </w:rPr>
  </w:style>
  <w:style w:type="character" w:styleId="Enfasigrassetto">
    <w:name w:val="Strong"/>
    <w:uiPriority w:val="99"/>
    <w:semiHidden/>
    <w:qFormat/>
    <w:rsid w:val="009A795C"/>
    <w:rPr>
      <w:b/>
      <w:bCs/>
    </w:rPr>
  </w:style>
  <w:style w:type="paragraph" w:styleId="Nessunaspaziatura">
    <w:name w:val="No Spacing"/>
    <w:basedOn w:val="Normale"/>
    <w:link w:val="NessunaspaziaturaCarattere"/>
    <w:semiHidden/>
    <w:qFormat/>
    <w:rsid w:val="009A795C"/>
  </w:style>
  <w:style w:type="character" w:customStyle="1" w:styleId="NessunaspaziaturaCarattere">
    <w:name w:val="Nessuna spaziatura Carattere"/>
    <w:basedOn w:val="Carpredefinitoparagrafo"/>
    <w:link w:val="Nessunaspaziatura"/>
    <w:semiHidden/>
    <w:rsid w:val="009A795C"/>
    <w:rPr>
      <w:rFonts w:eastAsiaTheme="minorEastAsia"/>
      <w:sz w:val="24"/>
    </w:rPr>
  </w:style>
  <w:style w:type="paragraph" w:customStyle="1" w:styleId="ECHRFooterLine">
    <w:name w:val="ECHR_Footer_Line"/>
    <w:aliases w:val="Footer_Line"/>
    <w:basedOn w:val="Normale"/>
    <w:next w:val="ECHRFooter"/>
    <w:uiPriority w:val="57"/>
    <w:semiHidden/>
    <w:rsid w:val="009A795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9A795C"/>
    <w:pPr>
      <w:numPr>
        <w:numId w:val="14"/>
      </w:numPr>
      <w:jc w:val="left"/>
    </w:pPr>
    <w:rPr>
      <w:b/>
    </w:rPr>
  </w:style>
  <w:style w:type="paragraph" w:customStyle="1" w:styleId="OpiPara">
    <w:name w:val="Opi_Para"/>
    <w:basedOn w:val="ECHRPara"/>
    <w:uiPriority w:val="46"/>
    <w:qFormat/>
    <w:rsid w:val="009A795C"/>
  </w:style>
  <w:style w:type="paragraph" w:customStyle="1" w:styleId="JuParaSub">
    <w:name w:val="Ju_Para_Sub"/>
    <w:basedOn w:val="ECHRPara"/>
    <w:uiPriority w:val="13"/>
    <w:qFormat/>
    <w:rsid w:val="009A795C"/>
    <w:pPr>
      <w:ind w:left="284"/>
    </w:pPr>
  </w:style>
  <w:style w:type="paragraph" w:customStyle="1" w:styleId="ECHRTitleCentre3">
    <w:name w:val="ECHR_Title_Centre_3"/>
    <w:aliases w:val="Ju_H_Article"/>
    <w:basedOn w:val="Normale"/>
    <w:next w:val="ECHRParaQuote"/>
    <w:uiPriority w:val="27"/>
    <w:qFormat/>
    <w:rsid w:val="009A795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A795C"/>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9A795C"/>
  </w:style>
  <w:style w:type="paragraph" w:customStyle="1" w:styleId="OpiQuot">
    <w:name w:val="Opi_Quot"/>
    <w:basedOn w:val="ECHRParaQuote"/>
    <w:uiPriority w:val="48"/>
    <w:semiHidden/>
    <w:qFormat/>
    <w:rsid w:val="009A795C"/>
  </w:style>
  <w:style w:type="paragraph" w:customStyle="1" w:styleId="OpiQuotSub">
    <w:name w:val="Opi_Quot_Sub"/>
    <w:basedOn w:val="JuQuotSub"/>
    <w:uiPriority w:val="49"/>
    <w:semiHidden/>
    <w:qFormat/>
    <w:rsid w:val="009A795C"/>
  </w:style>
  <w:style w:type="paragraph" w:customStyle="1" w:styleId="ECHRTitleCentre2">
    <w:name w:val="ECHR_Title_Centre_2"/>
    <w:aliases w:val="Dec_H_Case"/>
    <w:basedOn w:val="Normale"/>
    <w:next w:val="ECHRPara"/>
    <w:uiPriority w:val="8"/>
    <w:qFormat/>
    <w:rsid w:val="009A795C"/>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9A795C"/>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9A795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A795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9A795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9A795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9A795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9A795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9A795C"/>
    <w:pPr>
      <w:keepNext/>
      <w:keepLines/>
      <w:spacing w:before="240" w:after="120"/>
      <w:ind w:left="1236"/>
    </w:pPr>
    <w:rPr>
      <w:sz w:val="20"/>
    </w:rPr>
  </w:style>
  <w:style w:type="paragraph" w:customStyle="1" w:styleId="JuQuotSub">
    <w:name w:val="Ju_Quot_Sub"/>
    <w:basedOn w:val="ECHRParaQuote"/>
    <w:uiPriority w:val="15"/>
    <w:qFormat/>
    <w:rsid w:val="009A795C"/>
    <w:pPr>
      <w:ind w:left="567"/>
    </w:pPr>
  </w:style>
  <w:style w:type="paragraph" w:customStyle="1" w:styleId="JuInitialled">
    <w:name w:val="Ju_Initialled"/>
    <w:basedOn w:val="Normale"/>
    <w:uiPriority w:val="31"/>
    <w:qFormat/>
    <w:rsid w:val="009A795C"/>
    <w:pPr>
      <w:tabs>
        <w:tab w:val="center" w:pos="6407"/>
      </w:tabs>
      <w:spacing w:before="720"/>
      <w:jc w:val="right"/>
    </w:pPr>
  </w:style>
  <w:style w:type="paragraph" w:customStyle="1" w:styleId="OpiHA">
    <w:name w:val="Opi_H_A"/>
    <w:basedOn w:val="ECHRHeading1"/>
    <w:next w:val="OpiPara"/>
    <w:uiPriority w:val="41"/>
    <w:semiHidden/>
    <w:qFormat/>
    <w:rsid w:val="009A795C"/>
    <w:pPr>
      <w:tabs>
        <w:tab w:val="clear" w:pos="357"/>
      </w:tabs>
      <w:outlineLvl w:val="1"/>
    </w:pPr>
    <w:rPr>
      <w:b/>
    </w:rPr>
  </w:style>
  <w:style w:type="paragraph" w:styleId="Intestazione">
    <w:name w:val="header"/>
    <w:basedOn w:val="Normale"/>
    <w:link w:val="IntestazioneCarattere"/>
    <w:uiPriority w:val="57"/>
    <w:semiHidden/>
    <w:rsid w:val="009A795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A795C"/>
    <w:rPr>
      <w:sz w:val="24"/>
    </w:rPr>
  </w:style>
  <w:style w:type="character" w:customStyle="1" w:styleId="Titolo1Carattere">
    <w:name w:val="Titolo 1 Carattere"/>
    <w:basedOn w:val="Carpredefinitoparagrafo"/>
    <w:link w:val="Titolo1"/>
    <w:uiPriority w:val="99"/>
    <w:semiHidden/>
    <w:rsid w:val="009A795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9A795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link w:val="ECHRHeading2Char"/>
    <w:uiPriority w:val="20"/>
    <w:qFormat/>
    <w:rsid w:val="009A795C"/>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A795C"/>
    <w:rPr>
      <w:rFonts w:asciiTheme="majorHAnsi" w:eastAsiaTheme="majorEastAsia" w:hAnsiTheme="majorHAnsi" w:cstheme="majorBidi"/>
      <w:b/>
      <w:bCs/>
      <w:color w:val="4D4D4D"/>
      <w:sz w:val="26"/>
      <w:szCs w:val="26"/>
    </w:rPr>
  </w:style>
  <w:style w:type="character" w:customStyle="1" w:styleId="JUNAMES">
    <w:name w:val="JU_NAMES"/>
    <w:uiPriority w:val="17"/>
    <w:qFormat/>
    <w:rsid w:val="009A795C"/>
    <w:rPr>
      <w:caps w:val="0"/>
      <w:smallCaps/>
    </w:rPr>
  </w:style>
  <w:style w:type="paragraph" w:customStyle="1" w:styleId="ECHRDecisionBody">
    <w:name w:val="ECHR_Decision_Body"/>
    <w:aliases w:val="Ju_Judges"/>
    <w:basedOn w:val="Normale"/>
    <w:uiPriority w:val="11"/>
    <w:qFormat/>
    <w:rsid w:val="009A795C"/>
    <w:pPr>
      <w:tabs>
        <w:tab w:val="left" w:pos="567"/>
        <w:tab w:val="left" w:pos="1134"/>
      </w:tabs>
      <w:jc w:val="left"/>
    </w:pPr>
  </w:style>
  <w:style w:type="character" w:customStyle="1" w:styleId="Titolo3Carattere">
    <w:name w:val="Titolo 3 Carattere"/>
    <w:basedOn w:val="Carpredefinitoparagrafo"/>
    <w:link w:val="Titolo3"/>
    <w:uiPriority w:val="99"/>
    <w:semiHidden/>
    <w:rsid w:val="009A795C"/>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9A795C"/>
    <w:pPr>
      <w:ind w:firstLine="284"/>
    </w:pPr>
  </w:style>
  <w:style w:type="character" w:customStyle="1" w:styleId="Titolo4Carattere">
    <w:name w:val="Titolo 4 Carattere"/>
    <w:basedOn w:val="Carpredefinitoparagrafo"/>
    <w:link w:val="Titolo4"/>
    <w:uiPriority w:val="99"/>
    <w:semiHidden/>
    <w:rsid w:val="009A795C"/>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9A795C"/>
    <w:rPr>
      <w:rFonts w:asciiTheme="majorHAnsi" w:eastAsiaTheme="majorEastAsia" w:hAnsiTheme="majorHAnsi" w:cstheme="majorBidi"/>
      <w:b/>
      <w:bCs/>
      <w:color w:val="808080"/>
      <w:sz w:val="24"/>
    </w:rPr>
  </w:style>
  <w:style w:type="character" w:styleId="Enfasidelicata">
    <w:name w:val="Subtle Emphasis"/>
    <w:uiPriority w:val="99"/>
    <w:semiHidden/>
    <w:qFormat/>
    <w:rsid w:val="009A795C"/>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9A795C"/>
    <w:pPr>
      <w:keepNext/>
      <w:keepLines/>
      <w:spacing w:before="720" w:after="240"/>
      <w:outlineLvl w:val="0"/>
    </w:pPr>
    <w:rPr>
      <w:rFonts w:asciiTheme="majorHAnsi" w:hAnsiTheme="majorHAnsi"/>
      <w:sz w:val="28"/>
    </w:rPr>
  </w:style>
  <w:style w:type="character" w:styleId="Enfasicorsivo">
    <w:name w:val="Emphasis"/>
    <w:uiPriority w:val="99"/>
    <w:semiHidden/>
    <w:qFormat/>
    <w:rsid w:val="009A795C"/>
    <w:rPr>
      <w:b/>
      <w:bCs/>
      <w:i/>
      <w:iCs/>
      <w:spacing w:val="10"/>
      <w:bdr w:val="none" w:sz="0" w:space="0" w:color="auto"/>
      <w:shd w:val="clear" w:color="auto" w:fill="auto"/>
    </w:rPr>
  </w:style>
  <w:style w:type="paragraph" w:styleId="Pidipagina">
    <w:name w:val="footer"/>
    <w:basedOn w:val="Normale"/>
    <w:link w:val="PidipaginaCarattere"/>
    <w:uiPriority w:val="57"/>
    <w:semiHidden/>
    <w:rsid w:val="009A795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A795C"/>
    <w:rPr>
      <w:sz w:val="24"/>
    </w:rPr>
  </w:style>
  <w:style w:type="character" w:styleId="Rimandonotaapidipagina">
    <w:name w:val="footnote reference"/>
    <w:basedOn w:val="Carpredefinitoparagrafo"/>
    <w:uiPriority w:val="99"/>
    <w:semiHidden/>
    <w:rsid w:val="009A795C"/>
    <w:rPr>
      <w:vertAlign w:val="superscript"/>
    </w:rPr>
  </w:style>
  <w:style w:type="paragraph" w:styleId="Testonotaapidipagina">
    <w:name w:val="footnote text"/>
    <w:basedOn w:val="Normale"/>
    <w:link w:val="TestonotaapidipaginaCarattere"/>
    <w:uiPriority w:val="99"/>
    <w:semiHidden/>
    <w:rsid w:val="009A795C"/>
    <w:rPr>
      <w:sz w:val="20"/>
      <w:szCs w:val="20"/>
    </w:rPr>
  </w:style>
  <w:style w:type="character" w:customStyle="1" w:styleId="TestonotaapidipaginaCarattere">
    <w:name w:val="Testo nota a piè di pagina Carattere"/>
    <w:basedOn w:val="Carpredefinitoparagrafo"/>
    <w:link w:val="Testonotaapidipagina"/>
    <w:uiPriority w:val="99"/>
    <w:semiHidden/>
    <w:rsid w:val="009A795C"/>
    <w:rPr>
      <w:rFonts w:eastAsiaTheme="minorEastAsia"/>
      <w:sz w:val="20"/>
      <w:szCs w:val="20"/>
    </w:rPr>
  </w:style>
  <w:style w:type="character" w:customStyle="1" w:styleId="Titolo6Carattere">
    <w:name w:val="Titolo 6 Carattere"/>
    <w:basedOn w:val="Carpredefinitoparagrafo"/>
    <w:link w:val="Titolo6"/>
    <w:uiPriority w:val="99"/>
    <w:semiHidden/>
    <w:rsid w:val="009A795C"/>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9A795C"/>
    <w:rPr>
      <w:rFonts w:asciiTheme="majorHAnsi" w:eastAsiaTheme="majorEastAsia" w:hAnsiTheme="majorHAnsi" w:cstheme="majorBidi"/>
      <w:i/>
      <w:iCs/>
      <w:sz w:val="24"/>
      <w:lang w:bidi="en-US"/>
    </w:rPr>
  </w:style>
  <w:style w:type="character" w:customStyle="1" w:styleId="Titolo8Carattere">
    <w:name w:val="Titolo 8 Carattere"/>
    <w:basedOn w:val="Carpredefinitoparagrafo"/>
    <w:link w:val="Titolo8"/>
    <w:uiPriority w:val="99"/>
    <w:semiHidden/>
    <w:rsid w:val="009A795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A795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A795C"/>
    <w:rPr>
      <w:color w:val="0072BC" w:themeColor="hyperlink"/>
      <w:u w:val="single"/>
    </w:rPr>
  </w:style>
  <w:style w:type="character" w:styleId="Enfasiintensa">
    <w:name w:val="Intense Emphasis"/>
    <w:uiPriority w:val="99"/>
    <w:semiHidden/>
    <w:qFormat/>
    <w:rsid w:val="009A795C"/>
    <w:rPr>
      <w:b/>
      <w:bCs/>
    </w:rPr>
  </w:style>
  <w:style w:type="paragraph" w:styleId="Citazioneintensa">
    <w:name w:val="Intense Quote"/>
    <w:basedOn w:val="Normale"/>
    <w:next w:val="Normale"/>
    <w:link w:val="CitazioneintensaCarattere"/>
    <w:uiPriority w:val="99"/>
    <w:semiHidden/>
    <w:qFormat/>
    <w:rsid w:val="009A795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A795C"/>
    <w:rPr>
      <w:rFonts w:eastAsiaTheme="minorEastAsia"/>
      <w:b/>
      <w:bCs/>
      <w:i/>
      <w:iCs/>
      <w:sz w:val="24"/>
      <w:lang w:bidi="en-US"/>
    </w:rPr>
  </w:style>
  <w:style w:type="character" w:styleId="Riferimentointenso">
    <w:name w:val="Intense Reference"/>
    <w:uiPriority w:val="99"/>
    <w:semiHidden/>
    <w:qFormat/>
    <w:rsid w:val="009A795C"/>
    <w:rPr>
      <w:smallCaps/>
      <w:spacing w:val="5"/>
      <w:u w:val="single"/>
    </w:rPr>
  </w:style>
  <w:style w:type="paragraph" w:styleId="Paragrafoelenco">
    <w:name w:val="List Paragraph"/>
    <w:basedOn w:val="Normale"/>
    <w:uiPriority w:val="99"/>
    <w:semiHidden/>
    <w:qFormat/>
    <w:rsid w:val="009A795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A795C"/>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A795C"/>
    <w:rPr>
      <w:rFonts w:eastAsiaTheme="minorEastAsia"/>
      <w:i/>
      <w:iCs/>
      <w:sz w:val="24"/>
      <w:lang w:bidi="en-US"/>
    </w:rPr>
  </w:style>
  <w:style w:type="character" w:styleId="Riferimentodelicato">
    <w:name w:val="Subtle Reference"/>
    <w:uiPriority w:val="99"/>
    <w:semiHidden/>
    <w:qFormat/>
    <w:rsid w:val="009A795C"/>
    <w:rPr>
      <w:smallCaps/>
    </w:rPr>
  </w:style>
  <w:style w:type="table" w:styleId="Grigliatabella">
    <w:name w:val="Table Grid"/>
    <w:basedOn w:val="Tabellanormale"/>
    <w:uiPriority w:val="59"/>
    <w:rsid w:val="009A795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A795C"/>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9A795C"/>
    <w:pPr>
      <w:spacing w:after="60"/>
      <w:ind w:left="680" w:right="340" w:hanging="340"/>
    </w:pPr>
  </w:style>
  <w:style w:type="paragraph" w:styleId="Sommario3">
    <w:name w:val="toc 3"/>
    <w:basedOn w:val="Normale"/>
    <w:next w:val="Normale"/>
    <w:autoRedefine/>
    <w:uiPriority w:val="99"/>
    <w:semiHidden/>
    <w:rsid w:val="009A795C"/>
    <w:pPr>
      <w:spacing w:after="60"/>
      <w:ind w:left="1020" w:right="340" w:hanging="340"/>
    </w:pPr>
  </w:style>
  <w:style w:type="paragraph" w:styleId="Sommario4">
    <w:name w:val="toc 4"/>
    <w:basedOn w:val="Normale"/>
    <w:next w:val="Normale"/>
    <w:autoRedefine/>
    <w:uiPriority w:val="99"/>
    <w:semiHidden/>
    <w:rsid w:val="009A795C"/>
    <w:pPr>
      <w:tabs>
        <w:tab w:val="right" w:leader="dot" w:pos="9017"/>
      </w:tabs>
      <w:spacing w:after="60"/>
      <w:ind w:left="1361" w:right="340" w:hanging="340"/>
    </w:pPr>
  </w:style>
  <w:style w:type="paragraph" w:styleId="Sommario5">
    <w:name w:val="toc 5"/>
    <w:basedOn w:val="Normale"/>
    <w:next w:val="Normale"/>
    <w:autoRedefine/>
    <w:uiPriority w:val="99"/>
    <w:semiHidden/>
    <w:rsid w:val="009A795C"/>
    <w:pPr>
      <w:spacing w:after="60"/>
      <w:ind w:left="1701" w:right="340" w:hanging="340"/>
    </w:pPr>
  </w:style>
  <w:style w:type="paragraph" w:styleId="Titolosommario">
    <w:name w:val="TOC Heading"/>
    <w:basedOn w:val="Titolo1"/>
    <w:next w:val="Normale"/>
    <w:uiPriority w:val="99"/>
    <w:semiHidden/>
    <w:qFormat/>
    <w:rsid w:val="009A795C"/>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A795C"/>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link w:val="JuQuotChar"/>
    <w:uiPriority w:val="14"/>
    <w:qFormat/>
    <w:rsid w:val="009A795C"/>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A795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9A795C"/>
    <w:pPr>
      <w:tabs>
        <w:tab w:val="center" w:pos="851"/>
        <w:tab w:val="center" w:pos="6407"/>
      </w:tabs>
      <w:spacing w:before="720"/>
      <w:jc w:val="left"/>
    </w:pPr>
  </w:style>
  <w:style w:type="paragraph" w:customStyle="1" w:styleId="JuParaLast">
    <w:name w:val="Ju_Para_Last"/>
    <w:basedOn w:val="Normale"/>
    <w:next w:val="ECHRPara"/>
    <w:uiPriority w:val="30"/>
    <w:qFormat/>
    <w:rsid w:val="009A795C"/>
    <w:pPr>
      <w:keepNext/>
      <w:keepLines/>
      <w:spacing w:before="240"/>
      <w:ind w:firstLine="284"/>
    </w:pPr>
  </w:style>
  <w:style w:type="paragraph" w:customStyle="1" w:styleId="JuCase">
    <w:name w:val="Ju_Case"/>
    <w:basedOn w:val="Normale"/>
    <w:next w:val="ECHRPara"/>
    <w:uiPriority w:val="10"/>
    <w:rsid w:val="009A795C"/>
    <w:pPr>
      <w:ind w:firstLine="284"/>
    </w:pPr>
    <w:rPr>
      <w:b/>
    </w:rPr>
  </w:style>
  <w:style w:type="paragraph" w:customStyle="1" w:styleId="JuList">
    <w:name w:val="Ju_List"/>
    <w:basedOn w:val="Normale"/>
    <w:uiPriority w:val="28"/>
    <w:qFormat/>
    <w:rsid w:val="009A795C"/>
    <w:pPr>
      <w:ind w:left="340" w:hanging="340"/>
    </w:pPr>
  </w:style>
  <w:style w:type="character" w:customStyle="1" w:styleId="JuITMark">
    <w:name w:val="Ju_ITMark"/>
    <w:basedOn w:val="Carpredefinitoparagrafo"/>
    <w:uiPriority w:val="38"/>
    <w:qFormat/>
    <w:rsid w:val="009A795C"/>
    <w:rPr>
      <w:vanish w:val="0"/>
      <w:color w:val="auto"/>
      <w:sz w:val="14"/>
    </w:rPr>
  </w:style>
  <w:style w:type="character" w:styleId="Numeropagina">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9A795C"/>
    <w:pPr>
      <w:ind w:left="346" w:firstLine="0"/>
    </w:pPr>
  </w:style>
  <w:style w:type="paragraph" w:customStyle="1" w:styleId="OpiTranslation">
    <w:name w:val="Opi_Translation"/>
    <w:basedOn w:val="Normale"/>
    <w:next w:val="OpiPara"/>
    <w:uiPriority w:val="40"/>
    <w:semiHidden/>
    <w:qFormat/>
    <w:rsid w:val="009A795C"/>
    <w:pPr>
      <w:jc w:val="center"/>
      <w:outlineLvl w:val="0"/>
    </w:pPr>
    <w:rPr>
      <w:i/>
    </w:r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DecHTitle">
    <w:name w:val="Dec_H_Title"/>
    <w:basedOn w:val="ECHRTitleCentre1"/>
    <w:uiPriority w:val="7"/>
    <w:qFormat/>
    <w:rsid w:val="009A795C"/>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JuCourt">
    <w:name w:val="Ju_Court"/>
    <w:basedOn w:val="Normale"/>
    <w:next w:val="Normale"/>
    <w:uiPriority w:val="16"/>
    <w:qFormat/>
    <w:rsid w:val="009A795C"/>
    <w:pPr>
      <w:tabs>
        <w:tab w:val="left" w:pos="907"/>
        <w:tab w:val="left" w:pos="1701"/>
        <w:tab w:val="right" w:pos="7371"/>
      </w:tabs>
      <w:spacing w:before="240"/>
      <w:ind w:left="397" w:hanging="397"/>
      <w:jc w:val="left"/>
    </w:pPr>
    <w:rPr>
      <w:lang w:bidi="en-US"/>
    </w:rPr>
  </w:style>
  <w:style w:type="paragraph" w:styleId="Sottotitolo">
    <w:name w:val="Subtitle"/>
    <w:basedOn w:val="Normale"/>
    <w:next w:val="Normale"/>
    <w:link w:val="SottotitoloCarattere"/>
    <w:uiPriority w:val="99"/>
    <w:semiHidden/>
    <w:qFormat/>
    <w:rsid w:val="009A795C"/>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A795C"/>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DecList">
    <w:name w:val="Dec_List"/>
    <w:basedOn w:val="Normale"/>
    <w:uiPriority w:val="9"/>
    <w:qFormat/>
    <w:rsid w:val="009A795C"/>
    <w:pPr>
      <w:spacing w:before="240"/>
      <w:ind w:left="284"/>
    </w:pPr>
  </w:style>
  <w:style w:type="paragraph" w:customStyle="1" w:styleId="JuListi">
    <w:name w:val="Ju_List_i"/>
    <w:basedOn w:val="Normale"/>
    <w:next w:val="JuLista"/>
    <w:uiPriority w:val="28"/>
    <w:qFormat/>
    <w:rsid w:val="009A795C"/>
    <w:pPr>
      <w:ind w:left="794"/>
    </w:pPr>
  </w:style>
  <w:style w:type="paragraph" w:customStyle="1" w:styleId="OpiH1">
    <w:name w:val="Opi_H_1"/>
    <w:basedOn w:val="ECHRHeading2"/>
    <w:uiPriority w:val="42"/>
    <w:semiHidden/>
    <w:qFormat/>
    <w:rsid w:val="009A795C"/>
    <w:pPr>
      <w:ind w:left="635" w:hanging="357"/>
      <w:outlineLvl w:val="2"/>
    </w:pPr>
  </w:style>
  <w:style w:type="paragraph" w:customStyle="1" w:styleId="OpiHa0">
    <w:name w:val="Opi_H_a"/>
    <w:basedOn w:val="ECHRHeading3"/>
    <w:uiPriority w:val="43"/>
    <w:semiHidden/>
    <w:qFormat/>
    <w:rsid w:val="009A795C"/>
    <w:pPr>
      <w:ind w:left="833" w:hanging="357"/>
      <w:outlineLvl w:val="3"/>
    </w:pPr>
    <w:rPr>
      <w:b/>
      <w:i w:val="0"/>
      <w:sz w:val="20"/>
    </w:rPr>
  </w:style>
  <w:style w:type="paragraph" w:customStyle="1" w:styleId="OpiHi">
    <w:name w:val="Opi_H_i"/>
    <w:basedOn w:val="ECHRHeading4"/>
    <w:uiPriority w:val="44"/>
    <w:semiHidden/>
    <w:qFormat/>
    <w:rsid w:val="009A795C"/>
    <w:pPr>
      <w:ind w:left="1037" w:hanging="357"/>
      <w:outlineLvl w:val="4"/>
    </w:pPr>
    <w:rPr>
      <w:b w:val="0"/>
      <w:i/>
    </w:rPr>
  </w:style>
  <w:style w:type="paragraph" w:customStyle="1" w:styleId="DummyStyle">
    <w:name w:val="Dummy_Style"/>
    <w:basedOn w:val="Normale"/>
    <w:semiHidden/>
    <w:qFormat/>
    <w:rsid w:val="009A795C"/>
    <w:rPr>
      <w:color w:val="00B050"/>
      <w:lang w:bidi="en-US"/>
    </w:rPr>
  </w:style>
  <w:style w:type="paragraph" w:styleId="Revisione">
    <w:name w:val="Revision"/>
    <w:hidden/>
    <w:uiPriority w:val="99"/>
    <w:semiHidden/>
    <w:rsid w:val="001F576E"/>
    <w:rPr>
      <w:rFonts w:eastAsiaTheme="minorEastAsia"/>
      <w:sz w:val="24"/>
    </w:rPr>
  </w:style>
  <w:style w:type="character" w:customStyle="1" w:styleId="ECHRParaChar">
    <w:name w:val="ECHR_Para Char"/>
    <w:aliases w:val="Ju_Para Char"/>
    <w:basedOn w:val="NessunaspaziaturaCarattere"/>
    <w:link w:val="ECHRPara"/>
    <w:uiPriority w:val="12"/>
    <w:rsid w:val="008D33F2"/>
    <w:rPr>
      <w:rFonts w:eastAsiaTheme="minorEastAsia"/>
      <w:sz w:val="24"/>
    </w:rPr>
  </w:style>
  <w:style w:type="character" w:customStyle="1" w:styleId="JuQuotChar">
    <w:name w:val="Ju_Quot Char"/>
    <w:basedOn w:val="Carpredefinitoparagrafo"/>
    <w:link w:val="ECHRParaQuote"/>
    <w:uiPriority w:val="14"/>
    <w:rsid w:val="008D33F2"/>
    <w:rPr>
      <w:rFonts w:eastAsiaTheme="minorEastAsia"/>
      <w:sz w:val="20"/>
    </w:rPr>
  </w:style>
  <w:style w:type="character" w:customStyle="1" w:styleId="ECHRHeading2Char">
    <w:name w:val="ECHR_Heading_2 Char"/>
    <w:aliases w:val="Head_2 Char"/>
    <w:basedOn w:val="Titolo2Carattere"/>
    <w:link w:val="ECHRHeading2"/>
    <w:uiPriority w:val="20"/>
    <w:rsid w:val="00EA2BEB"/>
    <w:rPr>
      <w:rFonts w:asciiTheme="majorHAnsi" w:eastAsiaTheme="majorEastAsia" w:hAnsiTheme="majorHAnsi" w:cstheme="majorBidi"/>
      <w:b/>
      <w:bCs/>
      <w:color w:val="4D4D4D"/>
      <w:sz w:val="24"/>
      <w:szCs w:val="26"/>
    </w:rPr>
  </w:style>
  <w:style w:type="character" w:customStyle="1" w:styleId="JuParaCar">
    <w:name w:val="Ju_Para Car"/>
    <w:uiPriority w:val="12"/>
    <w:rsid w:val="00EA2BE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5641">
      <w:bodyDiv w:val="1"/>
      <w:marLeft w:val="0"/>
      <w:marRight w:val="0"/>
      <w:marTop w:val="0"/>
      <w:marBottom w:val="0"/>
      <w:divBdr>
        <w:top w:val="none" w:sz="0" w:space="0" w:color="auto"/>
        <w:left w:val="none" w:sz="0" w:space="0" w:color="auto"/>
        <w:bottom w:val="none" w:sz="0" w:space="0" w:color="auto"/>
        <w:right w:val="none" w:sz="0" w:space="0" w:color="auto"/>
      </w:divBdr>
      <w:divsChild>
        <w:div w:id="1067806097">
          <w:marLeft w:val="0"/>
          <w:marRight w:val="0"/>
          <w:marTop w:val="0"/>
          <w:marBottom w:val="0"/>
          <w:divBdr>
            <w:top w:val="none" w:sz="0" w:space="0" w:color="auto"/>
            <w:left w:val="none" w:sz="0" w:space="0" w:color="auto"/>
            <w:bottom w:val="none" w:sz="0" w:space="0" w:color="auto"/>
            <w:right w:val="none" w:sz="0" w:space="0" w:color="auto"/>
          </w:divBdr>
          <w:divsChild>
            <w:div w:id="1516187860">
              <w:marLeft w:val="0"/>
              <w:marRight w:val="0"/>
              <w:marTop w:val="0"/>
              <w:marBottom w:val="0"/>
              <w:divBdr>
                <w:top w:val="none" w:sz="0" w:space="0" w:color="auto"/>
                <w:left w:val="none" w:sz="0" w:space="0" w:color="auto"/>
                <w:bottom w:val="none" w:sz="0" w:space="0" w:color="auto"/>
                <w:right w:val="none" w:sz="0" w:space="0" w:color="auto"/>
              </w:divBdr>
              <w:divsChild>
                <w:div w:id="1378121098">
                  <w:marLeft w:val="0"/>
                  <w:marRight w:val="0"/>
                  <w:marTop w:val="0"/>
                  <w:marBottom w:val="0"/>
                  <w:divBdr>
                    <w:top w:val="none" w:sz="0" w:space="0" w:color="auto"/>
                    <w:left w:val="none" w:sz="0" w:space="0" w:color="auto"/>
                    <w:bottom w:val="none" w:sz="0" w:space="0" w:color="auto"/>
                    <w:right w:val="none" w:sz="0" w:space="0" w:color="auto"/>
                  </w:divBdr>
                  <w:divsChild>
                    <w:div w:id="1495880532">
                      <w:marLeft w:val="0"/>
                      <w:marRight w:val="0"/>
                      <w:marTop w:val="0"/>
                      <w:marBottom w:val="0"/>
                      <w:divBdr>
                        <w:top w:val="none" w:sz="0" w:space="0" w:color="auto"/>
                        <w:left w:val="none" w:sz="0" w:space="0" w:color="auto"/>
                        <w:bottom w:val="none" w:sz="0" w:space="0" w:color="auto"/>
                        <w:right w:val="none" w:sz="0" w:space="0" w:color="auto"/>
                      </w:divBdr>
                      <w:divsChild>
                        <w:div w:id="1400250496">
                          <w:marLeft w:val="0"/>
                          <w:marRight w:val="0"/>
                          <w:marTop w:val="0"/>
                          <w:marBottom w:val="0"/>
                          <w:divBdr>
                            <w:top w:val="none" w:sz="0" w:space="0" w:color="auto"/>
                            <w:left w:val="none" w:sz="0" w:space="0" w:color="auto"/>
                            <w:bottom w:val="none" w:sz="0" w:space="0" w:color="auto"/>
                            <w:right w:val="none" w:sz="0" w:space="0" w:color="auto"/>
                          </w:divBdr>
                          <w:divsChild>
                            <w:div w:id="845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01606">
      <w:bodyDiv w:val="1"/>
      <w:marLeft w:val="0"/>
      <w:marRight w:val="0"/>
      <w:marTop w:val="0"/>
      <w:marBottom w:val="0"/>
      <w:divBdr>
        <w:top w:val="none" w:sz="0" w:space="0" w:color="auto"/>
        <w:left w:val="none" w:sz="0" w:space="0" w:color="auto"/>
        <w:bottom w:val="none" w:sz="0" w:space="0" w:color="auto"/>
        <w:right w:val="none" w:sz="0" w:space="0" w:color="auto"/>
      </w:divBdr>
      <w:divsChild>
        <w:div w:id="329140833">
          <w:marLeft w:val="0"/>
          <w:marRight w:val="0"/>
          <w:marTop w:val="0"/>
          <w:marBottom w:val="0"/>
          <w:divBdr>
            <w:top w:val="none" w:sz="0" w:space="0" w:color="auto"/>
            <w:left w:val="none" w:sz="0" w:space="0" w:color="auto"/>
            <w:bottom w:val="none" w:sz="0" w:space="0" w:color="auto"/>
            <w:right w:val="none" w:sz="0" w:space="0" w:color="auto"/>
          </w:divBdr>
          <w:divsChild>
            <w:div w:id="316302160">
              <w:marLeft w:val="0"/>
              <w:marRight w:val="0"/>
              <w:marTop w:val="0"/>
              <w:marBottom w:val="0"/>
              <w:divBdr>
                <w:top w:val="none" w:sz="0" w:space="0" w:color="auto"/>
                <w:left w:val="none" w:sz="0" w:space="0" w:color="auto"/>
                <w:bottom w:val="none" w:sz="0" w:space="0" w:color="auto"/>
                <w:right w:val="none" w:sz="0" w:space="0" w:color="auto"/>
              </w:divBdr>
              <w:divsChild>
                <w:div w:id="1221213622">
                  <w:marLeft w:val="0"/>
                  <w:marRight w:val="0"/>
                  <w:marTop w:val="0"/>
                  <w:marBottom w:val="0"/>
                  <w:divBdr>
                    <w:top w:val="none" w:sz="0" w:space="0" w:color="auto"/>
                    <w:left w:val="none" w:sz="0" w:space="0" w:color="auto"/>
                    <w:bottom w:val="none" w:sz="0" w:space="0" w:color="auto"/>
                    <w:right w:val="none" w:sz="0" w:space="0" w:color="auto"/>
                  </w:divBdr>
                  <w:divsChild>
                    <w:div w:id="1576159876">
                      <w:marLeft w:val="0"/>
                      <w:marRight w:val="0"/>
                      <w:marTop w:val="0"/>
                      <w:marBottom w:val="0"/>
                      <w:divBdr>
                        <w:top w:val="none" w:sz="0" w:space="0" w:color="auto"/>
                        <w:left w:val="none" w:sz="0" w:space="0" w:color="auto"/>
                        <w:bottom w:val="none" w:sz="0" w:space="0" w:color="auto"/>
                        <w:right w:val="none" w:sz="0" w:space="0" w:color="auto"/>
                      </w:divBdr>
                      <w:divsChild>
                        <w:div w:id="1833447510">
                          <w:marLeft w:val="0"/>
                          <w:marRight w:val="0"/>
                          <w:marTop w:val="0"/>
                          <w:marBottom w:val="0"/>
                          <w:divBdr>
                            <w:top w:val="none" w:sz="0" w:space="0" w:color="auto"/>
                            <w:left w:val="none" w:sz="0" w:space="0" w:color="auto"/>
                            <w:bottom w:val="none" w:sz="0" w:space="0" w:color="auto"/>
                            <w:right w:val="none" w:sz="0" w:space="0" w:color="auto"/>
                          </w:divBdr>
                          <w:divsChild>
                            <w:div w:id="1338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88C7-25F4-47CA-B485-160A9CA66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2B4C0-6D83-456A-89EF-C8226A134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997356-8818-48AE-8F72-0D3BD90D23ED}">
  <ds:schemaRefs>
    <ds:schemaRef ds:uri="http://schemas.microsoft.com/sharepoint/v3/contenttype/forms"/>
  </ds:schemaRefs>
</ds:datastoreItem>
</file>

<file path=customXml/itemProps4.xml><?xml version="1.0" encoding="utf-8"?>
<ds:datastoreItem xmlns:ds="http://schemas.openxmlformats.org/officeDocument/2006/customXml" ds:itemID="{D862DE41-93E4-408C-93A1-6BEB3AAF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10732</Words>
  <Characters>61178</Characters>
  <Application>Microsoft Office Word</Application>
  <DocSecurity>0</DocSecurity>
  <Lines>509</Lines>
  <Paragraphs>143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2015-09-09T09:39:00Z</cp:lastPrinted>
  <dcterms:created xsi:type="dcterms:W3CDTF">2015-10-22T13:52:00Z</dcterms:created>
  <dcterms:modified xsi:type="dcterms:W3CDTF">2015-10-22T13:52:00Z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